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pPr w:horzAnchor="page" w:tblpX="8686" w:tblpY="331" w:vertAnchor="page"/>
        <w:tblW w:type="auto" w:w="0"/>
        <w:tblLayout w:type="fixed"/>
        <w:tblCellMar>
          <w:left w:type="dxa" w:w="0"/>
          <w:right w:type="dxa" w:w="0"/>
        </w:tblCellMar>
      </w:tblPr>
      <w:tblGrid>
        <w:gridCol w:w="1581"/>
      </w:tblGrid>
      <w:tr>
        <w:trPr>
          <w:trHeight w:hRule="atLeast" w:val="454"/>
        </w:trPr>
        <w:tc>
          <w:tcPr>
            <w:tcW w:type="dxa" w:w="1581"/>
            <w:tcMar>
              <w:left w:type="dxa" w:w="0"/>
              <w:right w:type="dxa" w:w="0"/>
            </w:tcMar>
          </w:tcPr>
          <w:p w14:paraId="06000000">
            <w:pPr>
              <w:widowControl w:val="1"/>
              <w:spacing w:after="0" w:line="240" w:lineRule="auto"/>
              <w:ind/>
              <w:rPr>
                <w:sz w:val="64"/>
              </w:rPr>
            </w:pPr>
          </w:p>
        </w:tc>
      </w:tr>
    </w:tbl>
    <w:p w14:paraId="07000000">
      <w:pPr>
        <w:widowControl w:val="1"/>
        <w:spacing w:after="0"/>
        <w:ind/>
        <w:jc w:val="right"/>
        <w:rPr>
          <w:rFonts w:ascii="Times New Roman" w:hAnsi="Times New Roman"/>
          <w:b w:val="1"/>
          <w:sz w:val="28"/>
        </w:rPr>
      </w:pPr>
    </w:p>
    <w:p w14:paraId="08000000">
      <w:pPr>
        <w:pStyle w:val="Style_4"/>
        <w:widowControl w:val="1"/>
        <w:spacing w:before="0"/>
        <w:ind w:firstLine="0"/>
        <w:contextualSpacing w:val="1"/>
        <w:jc w:val="center"/>
        <w:rPr>
          <w:b w:val="0"/>
          <w:color w:val="FB290D"/>
          <w:sz w:val="28"/>
        </w:rPr>
      </w:pPr>
    </w:p>
    <w:p w14:paraId="09000000">
      <w:pPr>
        <w:pStyle w:val="Style_4"/>
        <w:widowControl w:val="1"/>
        <w:spacing w:before="0"/>
        <w:ind w:firstLine="0"/>
        <w:contextualSpacing w:val="1"/>
        <w:jc w:val="center"/>
        <w:rPr>
          <w:b w:val="0"/>
          <w:color w:val="FB290D"/>
          <w:sz w:val="28"/>
        </w:rPr>
      </w:pPr>
      <w:r>
        <w:rPr>
          <w:b w:val="0"/>
          <w:sz w:val="28"/>
        </w:rPr>
        <w:t>Благовещенским городским судом Амурской области удовлетворен иск прокурора Сретенского района о возмещении ущерба, причиненного окружающей среде, на сумму более 131 млн рублей</w:t>
      </w:r>
    </w:p>
    <w:p w14:paraId="0A000000">
      <w:pPr>
        <w:pStyle w:val="Style_4"/>
        <w:widowControl w:val="1"/>
        <w:spacing w:before="0"/>
        <w:ind w:firstLine="708"/>
        <w:contextualSpacing w:val="1"/>
        <w:jc w:val="center"/>
        <w:rPr>
          <w:color w:val="FB290D"/>
          <w:sz w:val="28"/>
        </w:rPr>
      </w:pPr>
    </w:p>
    <w:p w14:paraId="0B000000">
      <w:pPr>
        <w:pStyle w:val="Style_4"/>
        <w:widowControl w:val="1"/>
        <w:spacing w:before="0"/>
        <w:ind w:firstLine="708"/>
        <w:contextualSpacing w:val="1"/>
        <w:jc w:val="both"/>
        <w:rPr>
          <w:sz w:val="28"/>
        </w:rPr>
      </w:pPr>
      <w:r>
        <w:rPr>
          <w:rStyle w:val="Style_4_ch"/>
          <w:sz w:val="28"/>
        </w:rPr>
        <w:t>Прокуратура Сретенского района с привлечением специалистов Россельхознадзора провела проверку исполнения законодательства о недропользовании на участке недр «Курлычинская перспективная площадь» на территории Сретенского района.</w:t>
      </w:r>
    </w:p>
    <w:p w14:paraId="0C000000">
      <w:pPr>
        <w:pStyle w:val="Style_4"/>
        <w:widowControl w:val="1"/>
        <w:spacing w:before="0"/>
        <w:ind w:firstLine="708"/>
        <w:contextualSpacing w:val="1"/>
        <w:jc w:val="both"/>
        <w:rPr>
          <w:sz w:val="28"/>
        </w:rPr>
      </w:pPr>
      <w:r>
        <w:rPr>
          <w:sz w:val="28"/>
        </w:rPr>
        <w:t>Установлено, что ООО «Элитстрой», имея лицензию на геологическую разведку, производило снятие, перемещение, а также перекрытие плодородного слоя почвы на земельных участках сельскохозяйственного назначения, в результате чего окружающей среде причинен ущерб в размере 131,3 млн. рублей.</w:t>
      </w:r>
    </w:p>
    <w:p w14:paraId="0D000000">
      <w:pPr>
        <w:pStyle w:val="Style_4"/>
        <w:widowControl w:val="1"/>
        <w:spacing w:before="0"/>
        <w:ind w:firstLine="708"/>
        <w:contextualSpacing w:val="1"/>
        <w:jc w:val="both"/>
        <w:rPr>
          <w:sz w:val="28"/>
        </w:rPr>
      </w:pPr>
      <w:r>
        <w:rPr>
          <w:sz w:val="28"/>
        </w:rPr>
        <w:t xml:space="preserve">С целью взыскания вреда, причиненного землям </w:t>
      </w:r>
      <w:r>
        <w:rPr>
          <w:sz w:val="28"/>
        </w:rPr>
        <w:t>сельскохозяйственного назначения, прокурор Сретенского района направил в суд исковое заявление, по результатам рассмотрения которого 7 сентября этого года требования прокурора удовлетворены, решение в законную силу не вступило.</w:t>
      </w:r>
    </w:p>
    <w:p w14:paraId="0E000000">
      <w:pPr>
        <w:pStyle w:val="Style_4"/>
        <w:widowControl w:val="1"/>
        <w:spacing w:before="0"/>
        <w:ind w:firstLine="708"/>
        <w:contextualSpacing w:val="1"/>
        <w:jc w:val="both"/>
        <w:rPr>
          <w:sz w:val="28"/>
        </w:rPr>
      </w:pPr>
      <w:r>
        <w:rPr>
          <w:sz w:val="28"/>
        </w:rPr>
        <w:t xml:space="preserve">Кроме того, в марте 2026 года по материалам прокуратуры, направленным в следственные органы в порядке статьи 37 УПК РФ, в отношении должностных лиц ООО «Элитстрой» возбуждено и расследуется уголовное дело по статье 246 УК РФ </w:t>
      </w:r>
      <w:r>
        <w:rPr>
          <w:sz w:val="28"/>
        </w:rPr>
        <w:t>(нарушение правил охраны окружающей среды при производстве работ).</w:t>
      </w:r>
    </w:p>
    <w:p w14:paraId="0F000000">
      <w:pPr>
        <w:widowControl w:val="1"/>
        <w:spacing w:line="240" w:lineRule="auto"/>
        <w:ind/>
        <w:jc w:val="both"/>
        <w:rPr>
          <w:rFonts w:ascii="Times New Roman" w:hAnsi="Times New Roman"/>
          <w:b w:val="1"/>
          <w:i w:val="0"/>
          <w:sz w:val="28"/>
        </w:rPr>
      </w:pPr>
      <w:r>
        <w:rPr>
          <w:rFonts w:ascii="Times New Roman" w:hAnsi="Times New Roman"/>
          <w:b w:val="1"/>
          <w:i w:val="0"/>
          <w:color w:val="333333"/>
          <w:sz w:val="28"/>
        </w:rPr>
        <w:t>(</w:t>
      </w:r>
      <w:r>
        <w:rPr>
          <w:rFonts w:ascii="Times New Roman" w:hAnsi="Times New Roman"/>
          <w:b w:val="1"/>
          <w:i w:val="0"/>
          <w:sz w:val="28"/>
        </w:rPr>
        <w:t>Информацию предоставил помощник</w:t>
      </w:r>
      <w:r>
        <w:rPr>
          <w:rFonts w:ascii="Times New Roman" w:hAnsi="Times New Roman"/>
          <w:b w:val="1"/>
          <w:i w:val="0"/>
          <w:sz w:val="28"/>
        </w:rPr>
        <w:t xml:space="preserve"> прокурора района Константин Андреевич Елгин, тел</w:t>
      </w:r>
      <w:r>
        <w:rPr>
          <w:rFonts w:ascii="Times New Roman" w:hAnsi="Times New Roman"/>
          <w:b w:val="1"/>
          <w:i w:val="0"/>
          <w:sz w:val="28"/>
        </w:rPr>
        <w:t>:</w:t>
      </w:r>
      <w:r>
        <w:rPr>
          <w:rFonts w:ascii="Times New Roman" w:hAnsi="Times New Roman"/>
          <w:b w:val="1"/>
          <w:i w:val="0"/>
          <w:sz w:val="28"/>
        </w:rPr>
        <w:t xml:space="preserve"> 8-914-122-21-57, IP 075120009)</w:t>
      </w:r>
    </w:p>
    <w:p w14:paraId="1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</w:t>
      </w:r>
      <w:r>
        <w:rPr>
          <w:rFonts w:ascii="Times New Roman" w:hAnsi="Times New Roman"/>
          <w:sz w:val="28"/>
        </w:rPr>
        <w:t>вано:</w:t>
      </w: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5"/>
        <w:tblpPr w:bottomFromText="0" w:horzAnchor="text" w:leftFromText="181" w:rightFromText="181" w:tblpXSpec="left" w:tblpY="1" w:topFromText="0" w:vertAnchor="text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434"/>
        <w:gridCol w:w="1286"/>
        <w:gridCol w:w="4061"/>
      </w:tblGrid>
      <w:tr>
        <w:trPr>
          <w:trHeight w:hRule="atLeast" w:val="212"/>
        </w:trPr>
        <w:tc>
          <w:tcPr>
            <w:tcW w:type="dxa" w:w="443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top"/>
          </w:tcPr>
          <w:p w14:paraId="13000000">
            <w:pPr>
              <w:widowControl w:val="1"/>
              <w:spacing w:line="240" w:lineRule="exact"/>
              <w:ind w:firstLine="0" w:left="-142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Прокурор района </w:t>
            </w:r>
          </w:p>
        </w:tc>
        <w:tc>
          <w:tcPr>
            <w:tcW w:type="dxa" w:w="128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4000000">
            <w:pPr>
              <w:widowControl w:val="1"/>
              <w:spacing w:line="240" w:lineRule="exac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06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top"/>
          </w:tcPr>
          <w:p w14:paraId="15000000">
            <w:pPr>
              <w:widowControl w:val="1"/>
              <w:spacing w:line="240" w:lineRule="exact"/>
              <w:ind w:right="-7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В.П. Дукарт</w:t>
            </w:r>
          </w:p>
        </w:tc>
      </w:tr>
    </w:tbl>
    <w:p w14:paraId="16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17000000">
      <w:pPr>
        <w:widowControl w:val="1"/>
        <w:tabs>
          <w:tab w:leader="none" w:pos="1985" w:val="left"/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color w:themeColor="background1" w:themeShade="D9" w:val="D9D9D9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bookmarkStart w:id="3" w:name="SIGNERSTAMP1"/>
      <w:r>
        <w:rPr>
          <w:rFonts w:ascii="Times New Roman" w:hAnsi="Times New Roman"/>
          <w:color w:themeColor="background1" w:themeShade="D9" w:val="D9D9D9"/>
          <w:sz w:val="24"/>
        </w:rPr>
        <w:t>эл. Подписи</w:t>
      </w:r>
      <w:bookmarkEnd w:id="3"/>
      <w:r>
        <w:rPr>
          <w:rFonts w:ascii="Times New Roman" w:hAnsi="Times New Roman"/>
          <w:color w:themeColor="background1" w:themeShade="D9" w:val="D9D9D9"/>
          <w:sz w:val="24"/>
        </w:rPr>
        <w:t xml:space="preserve"> </w:t>
      </w:r>
      <w:r>
        <w:rPr>
          <w:rFonts w:ascii="Times New Roman" w:hAnsi="Times New Roman"/>
          <w:color w:themeColor="background1" w:themeShade="D9" w:val="D9D9D9"/>
          <w:sz w:val="24"/>
        </w:rPr>
        <w:t>штамп</w:t>
      </w:r>
    </w:p>
    <w:p w14:paraId="18000000">
      <w:pPr>
        <w:widowControl w:val="1"/>
        <w:tabs>
          <w:tab w:leader="none" w:pos="1985" w:val="left"/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4"/>
        </w:rPr>
      </w:pPr>
    </w:p>
    <w:p w14:paraId="19000000">
      <w:pPr>
        <w:rPr>
          <w:rFonts w:ascii="Times New Roman" w:hAnsi="Times New Roman"/>
          <w:sz w:val="28"/>
        </w:rPr>
      </w:pPr>
    </w:p>
    <w:p w14:paraId="1A000000">
      <w:pPr>
        <w:rPr>
          <w:rFonts w:ascii="Times New Roman" w:hAnsi="Times New Roman"/>
          <w:sz w:val="28"/>
        </w:rPr>
      </w:pPr>
    </w:p>
    <w:p w14:paraId="1B000000">
      <w:pPr>
        <w:rPr>
          <w:rFonts w:ascii="Times New Roman" w:hAnsi="Times New Roman"/>
          <w:sz w:val="28"/>
        </w:rPr>
      </w:pPr>
    </w:p>
    <w:p w14:paraId="1C000000">
      <w:pPr>
        <w:rPr>
          <w:rFonts w:ascii="Times New Roman" w:hAnsi="Times New Roman"/>
          <w:sz w:val="28"/>
        </w:rPr>
      </w:pPr>
    </w:p>
    <w:p w14:paraId="1D000000">
      <w:pPr>
        <w:rPr>
          <w:rFonts w:ascii="Times New Roman" w:hAnsi="Times New Roman"/>
          <w:sz w:val="28"/>
        </w:rPr>
      </w:pPr>
      <w:r>
        <w:rPr>
          <w:rStyle w:val="Style_6_ch"/>
          <w:rFonts w:ascii="Times New Roman" w:hAnsi="Times New Roman"/>
          <w:sz w:val="28"/>
        </w:rPr>
        <w:t>07.09</w:t>
      </w:r>
      <w:r>
        <w:rPr>
          <w:rFonts w:ascii="Times New Roman" w:hAnsi="Times New Roman"/>
          <w:sz w:val="28"/>
        </w:rPr>
        <w:t>.2026</w:t>
      </w:r>
    </w:p>
    <w:sectPr>
      <w:headerReference r:id="rId1" w:type="default"/>
      <w:footerReference r:id="rId2" w:type="first"/>
      <w:pgSz w:h="16838" w:orient="portrait" w:w="11906"/>
      <w:pgMar w:bottom="1134" w:footer="709" w:gutter="0" w:header="709" w:left="1701" w:right="566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pPr w:horzAnchor="margin" w:tblpXSpec="right" w:tblpYSpec="outside" w:vertAnchor="page"/>
      <w:tblW w:type="auto" w:w="0"/>
      <w:tblBorders>
        <w:top w:color="000000" w:sz="12" w:val="single"/>
        <w:left w:color="000000" w:sz="12" w:val="single"/>
        <w:bottom w:color="000000" w:sz="12" w:val="single"/>
        <w:right w:color="000000" w:sz="12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2962"/>
    </w:tblGrid>
    <w:tr>
      <w:trPr>
        <w:trHeight w:hRule="atLeast" w:val="57"/>
      </w:trPr>
      <w:tc>
        <w:tcPr>
          <w:tcW w:type="dxa" w:w="2962"/>
          <w:tcBorders>
            <w:top w:color="000000" w:sz="12" w:val="single"/>
            <w:left w:color="000000" w:sz="12" w:val="single"/>
            <w:bottom w:color="000000" w:sz="12" w:val="single"/>
            <w:right w:color="000000" w:sz="12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bookmarkEnd w:id="1"/>
        </w:p>
        <w:p w14:paraId="04000000">
          <w:pPr>
            <w:widowControl w:val="1"/>
            <w:tabs>
              <w:tab w:leader="none" w:pos="413" w:val="left"/>
            </w:tabs>
            <w:spacing w:after="60" w:line="240" w:lineRule="auto"/>
            <w:ind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 </w:t>
          </w: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bookmarkEnd w:id="2"/>
        </w:p>
      </w:tc>
    </w:tr>
  </w:tbl>
  <w:p w14:paraId="05000000">
    <w:pPr>
      <w:pStyle w:val="Style_3"/>
      <w:widowControl w:val="1"/>
      <w:spacing w:after="60"/>
      <w:ind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7" w:type="paragraph">
    <w:name w:val="List Paragraph"/>
    <w:basedOn w:val="Style_6"/>
    <w:link w:val="Style_7_ch"/>
    <w:pPr>
      <w:widowControl w:val="1"/>
      <w:ind w:left="720"/>
      <w:contextualSpacing w:val="1"/>
    </w:pPr>
  </w:style>
  <w:style w:styleId="Style_7_ch" w:type="character">
    <w:name w:val="List Paragraph"/>
    <w:basedOn w:val="Style_6_ch"/>
    <w:link w:val="Style_7"/>
  </w:style>
  <w:style w:styleId="Style_8" w:type="paragraph">
    <w:name w:val="toc 2"/>
    <w:next w:val="Style_6"/>
    <w:link w:val="Style_8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6_ch"/>
    <w:link w:val="Style_1"/>
  </w:style>
  <w:style w:styleId="Style_9" w:type="paragraph">
    <w:name w:val="toc 4"/>
    <w:next w:val="Style_6"/>
    <w:link w:val="Style_9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6"/>
    <w:link w:val="Style_1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6"/>
    <w:link w:val="Style_11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Основной текст + 13 pt"/>
    <w:basedOn w:val="Style_13"/>
    <w:link w:val="Style_12_ch"/>
    <w:rPr>
      <w:rFonts w:ascii="Times New Roman" w:hAnsi="Times New Roman"/>
      <w:b w:val="0"/>
      <w:i w:val="0"/>
      <w:smallCaps w:val="0"/>
      <w:strike w:val="0"/>
      <w:spacing w:val="0"/>
      <w:sz w:val="26"/>
      <w:highlight w:val="white"/>
    </w:rPr>
  </w:style>
  <w:style w:styleId="Style_12_ch" w:type="character">
    <w:name w:val="Основной текст + 13 pt"/>
    <w:basedOn w:val="Style_13_ch"/>
    <w:link w:val="Style_12"/>
    <w:rPr>
      <w:rFonts w:ascii="Times New Roman" w:hAnsi="Times New Roman"/>
      <w:b w:val="0"/>
      <w:i w:val="0"/>
      <w:smallCaps w:val="0"/>
      <w:strike w:val="0"/>
      <w:spacing w:val="0"/>
      <w:sz w:val="26"/>
      <w:highlight w:val="white"/>
    </w:rPr>
  </w:style>
  <w:style w:styleId="Style_14" w:type="paragraph">
    <w:name w:val="End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next w:val="Style_6"/>
    <w:link w:val="Style_15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3" w:type="paragraph">
    <w:name w:val="footer"/>
    <w:basedOn w:val="Style_6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6_ch"/>
    <w:link w:val="Style_3"/>
  </w:style>
  <w:style w:styleId="Style_16" w:type="paragraph">
    <w:name w:val="toc 3"/>
    <w:next w:val="Style_6"/>
    <w:link w:val="Style_1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next w:val="Style_6"/>
    <w:link w:val="Style_17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6"/>
    <w:link w:val="Style_18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6"/>
    <w:link w:val="Style_2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6"/>
    <w:link w:val="Style_2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4" w:type="paragraph">
    <w:name w:val="Normal (Web)"/>
    <w:basedOn w:val="Style_6"/>
    <w:link w:val="Style_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_ch" w:type="character">
    <w:name w:val="Normal (Web)"/>
    <w:basedOn w:val="Style_6_ch"/>
    <w:link w:val="Style_4"/>
    <w:rPr>
      <w:rFonts w:ascii="Times New Roman" w:hAnsi="Times New Roman"/>
      <w:sz w:val="24"/>
    </w:rPr>
  </w:style>
  <w:style w:styleId="Style_24" w:type="paragraph">
    <w:name w:val="toc 8"/>
    <w:next w:val="Style_6"/>
    <w:link w:val="Style_2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Balloon Text"/>
    <w:basedOn w:val="Style_6"/>
    <w:link w:val="Style_25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5_ch" w:type="character">
    <w:name w:val="Balloon Text"/>
    <w:basedOn w:val="Style_6_ch"/>
    <w:link w:val="Style_25"/>
    <w:rPr>
      <w:rFonts w:ascii="Segoe UI" w:hAnsi="Segoe UI"/>
      <w:sz w:val="18"/>
    </w:rPr>
  </w:style>
  <w:style w:styleId="Style_13" w:type="paragraph">
    <w:name w:val="Основной текст1"/>
    <w:basedOn w:val="Style_6"/>
    <w:link w:val="Style_13_ch"/>
    <w:pPr>
      <w:widowControl w:val="1"/>
      <w:spacing w:after="0" w:line="322" w:lineRule="exact"/>
      <w:ind/>
      <w:jc w:val="both"/>
    </w:pPr>
    <w:rPr>
      <w:rFonts w:ascii="Times New Roman" w:hAnsi="Times New Roman"/>
      <w:sz w:val="27"/>
    </w:rPr>
  </w:style>
  <w:style w:styleId="Style_13_ch" w:type="character">
    <w:name w:val="Основной текст1"/>
    <w:basedOn w:val="Style_6_ch"/>
    <w:link w:val="Style_13"/>
    <w:rPr>
      <w:rFonts w:ascii="Times New Roman" w:hAnsi="Times New Roman"/>
      <w:sz w:val="27"/>
    </w:rPr>
  </w:style>
  <w:style w:styleId="Style_26" w:type="paragraph">
    <w:name w:val="toc 5"/>
    <w:next w:val="Style_6"/>
    <w:link w:val="Style_2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6"/>
    <w:link w:val="Style_2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Default Paragraph Font"/>
    <w:link w:val="Style_28_ch"/>
  </w:style>
  <w:style w:styleId="Style_28_ch" w:type="character">
    <w:name w:val="Default Paragraph Font"/>
    <w:link w:val="Style_28"/>
  </w:style>
  <w:style w:styleId="Style_29" w:type="paragraph">
    <w:name w:val="Title"/>
    <w:next w:val="Style_6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6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6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5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2023-03-22T01:52:00Z</dcterms:created>
  <dcterms:modified xsi:type="dcterms:W3CDTF">2026-09-07T10:42:21Z</dcterms:modified>
</cp:coreProperties>
</file>