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D5" w:rsidRDefault="009075D5" w:rsidP="009075D5">
      <w:pPr>
        <w:spacing w:before="182" w:after="182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8A3944" w:rsidRPr="001602CC" w:rsidRDefault="009075D5" w:rsidP="008A3944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публичных  слушаний по проекту  решения Совета муниципального района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Тунгокоченский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район» </w:t>
      </w:r>
      <w:r w:rsidR="008A3944" w:rsidRPr="001602CC">
        <w:rPr>
          <w:rFonts w:ascii="Times New Roman" w:hAnsi="Times New Roman"/>
          <w:b/>
          <w:sz w:val="28"/>
          <w:szCs w:val="28"/>
        </w:rPr>
        <w:t xml:space="preserve"> «Об утверждении бюджета  муниципального района </w:t>
      </w:r>
      <w:proofErr w:type="spellStart"/>
      <w:r w:rsidR="008A3944" w:rsidRPr="001602CC">
        <w:rPr>
          <w:rFonts w:ascii="Times New Roman" w:hAnsi="Times New Roman"/>
          <w:b/>
          <w:sz w:val="28"/>
          <w:szCs w:val="28"/>
        </w:rPr>
        <w:t>Тунгокоченский</w:t>
      </w:r>
      <w:proofErr w:type="spellEnd"/>
      <w:r w:rsidR="008A3944" w:rsidRPr="001602CC">
        <w:rPr>
          <w:rFonts w:ascii="Times New Roman" w:hAnsi="Times New Roman"/>
          <w:b/>
          <w:sz w:val="28"/>
          <w:szCs w:val="28"/>
        </w:rPr>
        <w:t xml:space="preserve"> район на 2022 год и плановый период 2023-2024 годов»  </w:t>
      </w:r>
    </w:p>
    <w:p w:rsidR="009075D5" w:rsidRDefault="009075D5" w:rsidP="009075D5">
      <w:pPr>
        <w:spacing w:before="182" w:after="182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Верх-Усугли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                                     </w:t>
      </w:r>
      <w:r w:rsidR="008A3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30 ноября</w:t>
      </w:r>
    </w:p>
    <w:p w:rsidR="009075D5" w:rsidRDefault="008A3944" w:rsidP="009075D5">
      <w:pPr>
        <w:spacing w:before="182" w:after="182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="009075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:rsidR="009075D5" w:rsidRDefault="009075D5" w:rsidP="009075D5">
      <w:pPr>
        <w:spacing w:before="182" w:after="182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Публичные слушания проводились в соответствии с решением Совета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Тунгокоченский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район» от 04.05.2006 № 144 </w:t>
      </w:r>
      <w:r w:rsidR="008A394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«О порядке проведения публичных слушаний в муниципальном </w:t>
      </w:r>
      <w:r w:rsidR="008A394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районе «</w:t>
      </w:r>
      <w:proofErr w:type="spellStart"/>
      <w:r>
        <w:rPr>
          <w:rFonts w:ascii="Times New Roman" w:hAnsi="Times New Roman"/>
          <w:sz w:val="28"/>
          <w:szCs w:val="28"/>
        </w:rPr>
        <w:t>Тунгокоченский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проект решения 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Совета муниципального района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Тунгокоченский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район»  «</w:t>
      </w:r>
      <w:r w:rsidR="008A3944" w:rsidRPr="008A3944">
        <w:rPr>
          <w:rFonts w:ascii="Times New Roman" w:hAnsi="Times New Roman"/>
          <w:sz w:val="28"/>
          <w:szCs w:val="28"/>
        </w:rPr>
        <w:t xml:space="preserve">Об утверждении </w:t>
      </w:r>
      <w:r w:rsidR="008A394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8A3944" w:rsidRPr="008A3944">
        <w:rPr>
          <w:rFonts w:ascii="Times New Roman" w:hAnsi="Times New Roman"/>
          <w:sz w:val="28"/>
          <w:szCs w:val="28"/>
        </w:rPr>
        <w:t xml:space="preserve">бюджета  муниципального района </w:t>
      </w:r>
      <w:proofErr w:type="spellStart"/>
      <w:r w:rsidR="008A3944" w:rsidRPr="008A3944">
        <w:rPr>
          <w:rFonts w:ascii="Times New Roman" w:hAnsi="Times New Roman"/>
          <w:sz w:val="28"/>
          <w:szCs w:val="28"/>
        </w:rPr>
        <w:t>Тунгокоченский</w:t>
      </w:r>
      <w:proofErr w:type="spellEnd"/>
      <w:r w:rsidR="008A3944" w:rsidRPr="008A3944">
        <w:rPr>
          <w:rFonts w:ascii="Times New Roman" w:hAnsi="Times New Roman"/>
          <w:sz w:val="28"/>
          <w:szCs w:val="28"/>
        </w:rPr>
        <w:t xml:space="preserve"> район на 2022 год и плановый период</w:t>
      </w:r>
      <w:r w:rsidR="008A3944">
        <w:rPr>
          <w:rFonts w:ascii="Times New Roman" w:hAnsi="Times New Roman"/>
          <w:sz w:val="28"/>
          <w:szCs w:val="28"/>
        </w:rPr>
        <w:t> </w:t>
      </w:r>
      <w:r w:rsidR="008A3944" w:rsidRPr="008A3944">
        <w:rPr>
          <w:rFonts w:ascii="Times New Roman" w:hAnsi="Times New Roman"/>
          <w:sz w:val="28"/>
          <w:szCs w:val="28"/>
        </w:rPr>
        <w:t>2023-2024</w:t>
      </w:r>
      <w:r w:rsidR="008A3944">
        <w:rPr>
          <w:rFonts w:ascii="Times New Roman" w:hAnsi="Times New Roman"/>
          <w:sz w:val="28"/>
          <w:szCs w:val="28"/>
        </w:rPr>
        <w:t> </w:t>
      </w:r>
      <w:r w:rsidR="008A3944" w:rsidRPr="008A3944">
        <w:rPr>
          <w:rFonts w:ascii="Times New Roman" w:hAnsi="Times New Roman"/>
          <w:sz w:val="28"/>
          <w:szCs w:val="28"/>
        </w:rPr>
        <w:t>годов</w:t>
      </w:r>
      <w:r w:rsidRPr="008A394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8A394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8A3944">
        <w:rPr>
          <w:rFonts w:ascii="Times New Roman" w:hAnsi="Times New Roman"/>
          <w:sz w:val="28"/>
          <w:szCs w:val="28"/>
        </w:rPr>
        <w:t>для</w:t>
      </w:r>
      <w:r w:rsidR="008A3944">
        <w:rPr>
          <w:rFonts w:ascii="Times New Roman" w:hAnsi="Times New Roman"/>
          <w:sz w:val="28"/>
          <w:szCs w:val="28"/>
        </w:rPr>
        <w:t> </w:t>
      </w:r>
      <w:r w:rsidRPr="008A3944">
        <w:rPr>
          <w:rFonts w:ascii="Times New Roman" w:hAnsi="Times New Roman"/>
          <w:sz w:val="28"/>
          <w:szCs w:val="28"/>
        </w:rPr>
        <w:t>ознакомления</w:t>
      </w:r>
      <w:r>
        <w:rPr>
          <w:rFonts w:ascii="Times New Roman" w:hAnsi="Times New Roman"/>
          <w:sz w:val="28"/>
          <w:szCs w:val="28"/>
        </w:rPr>
        <w:t>,</w:t>
      </w:r>
      <w:r w:rsidR="008A394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замечаний</w:t>
      </w:r>
      <w:r w:rsidR="008A3944">
        <w:rPr>
          <w:rFonts w:ascii="Times New Roman" w:hAnsi="Times New Roman"/>
          <w:sz w:val="28"/>
          <w:szCs w:val="28"/>
        </w:rPr>
        <w:t xml:space="preserve"> и </w:t>
      </w:r>
      <w:r>
        <w:rPr>
          <w:rFonts w:ascii="Times New Roman" w:hAnsi="Times New Roman"/>
          <w:sz w:val="28"/>
          <w:szCs w:val="28"/>
        </w:rPr>
        <w:t>предложений размещён на сайте администрации</w:t>
      </w:r>
      <w:hyperlink w:history="1"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b/>
            <w:sz w:val="28"/>
            <w:szCs w:val="28"/>
          </w:rPr>
          <w:t>://тунгокоч.забайкальский край</w:t>
        </w:r>
        <w:proofErr w:type="gramEnd"/>
        <w:r>
          <w:rPr>
            <w:rStyle w:val="a3"/>
            <w:rFonts w:ascii="Times New Roman" w:hAnsi="Times New Roman"/>
            <w:b/>
            <w:sz w:val="28"/>
            <w:szCs w:val="28"/>
          </w:rPr>
          <w:t xml:space="preserve">. </w:t>
        </w:r>
        <w:proofErr w:type="spellStart"/>
        <w:r>
          <w:rPr>
            <w:rStyle w:val="a3"/>
            <w:rFonts w:ascii="Times New Roman" w:hAnsi="Times New Roman"/>
            <w:b/>
            <w:sz w:val="28"/>
            <w:szCs w:val="28"/>
          </w:rPr>
          <w:t>рф</w:t>
        </w:r>
        <w:proofErr w:type="spellEnd"/>
        <w:r>
          <w:rPr>
            <w:rStyle w:val="a3"/>
            <w:rFonts w:ascii="Times New Roman" w:hAnsi="Times New Roman"/>
            <w:b/>
            <w:sz w:val="28"/>
            <w:szCs w:val="28"/>
          </w:rPr>
          <w:t>/</w:t>
        </w:r>
      </w:hyperlink>
    </w:p>
    <w:p w:rsidR="009075D5" w:rsidRDefault="009075D5" w:rsidP="009075D5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 было опубликовано в г</w:t>
      </w:r>
      <w:r w:rsidR="008A3944">
        <w:rPr>
          <w:rFonts w:ascii="Times New Roman" w:hAnsi="Times New Roman"/>
          <w:sz w:val="28"/>
          <w:szCs w:val="28"/>
        </w:rPr>
        <w:t>азете «Вести Севера» № 92  от  16 ноября 2021</w:t>
      </w:r>
      <w:r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075D5" w:rsidRDefault="009075D5" w:rsidP="009075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:rsidR="009075D5" w:rsidRDefault="009075D5" w:rsidP="009075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публичных слушаний –  </w:t>
      </w:r>
      <w:r w:rsidR="008A394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Тун</w:t>
      </w:r>
      <w:r w:rsidR="008A3944">
        <w:rPr>
          <w:rFonts w:ascii="Times New Roman" w:hAnsi="Times New Roman"/>
          <w:sz w:val="28"/>
          <w:szCs w:val="28"/>
        </w:rPr>
        <w:t>гокоченский</w:t>
      </w:r>
      <w:proofErr w:type="spellEnd"/>
      <w:r w:rsidR="008A3944">
        <w:rPr>
          <w:rFonts w:ascii="Times New Roman" w:hAnsi="Times New Roman"/>
          <w:sz w:val="28"/>
          <w:szCs w:val="28"/>
        </w:rPr>
        <w:t xml:space="preserve"> район» С.В.Захарченко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75D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публичных слушаний</w:t>
      </w:r>
      <w:r>
        <w:rPr>
          <w:rFonts w:ascii="Times New Roman" w:hAnsi="Times New Roman"/>
          <w:sz w:val="28"/>
          <w:szCs w:val="28"/>
        </w:rPr>
        <w:t xml:space="preserve"> – секретарь руководителя администрации Панченко У.Н.</w:t>
      </w:r>
    </w:p>
    <w:p w:rsidR="009075D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публичных слушаниях принимают участие: председатели комитетов, начальники отделов и специалисты администрации района</w:t>
      </w:r>
      <w:r w:rsidR="009335FA">
        <w:rPr>
          <w:rFonts w:ascii="Times New Roman" w:hAnsi="Times New Roman"/>
          <w:sz w:val="28"/>
          <w:szCs w:val="28"/>
        </w:rPr>
        <w:t>, представитель газеты «Вести Севера»</w:t>
      </w:r>
      <w:r>
        <w:rPr>
          <w:rFonts w:ascii="Times New Roman" w:hAnsi="Times New Roman"/>
          <w:sz w:val="28"/>
          <w:szCs w:val="28"/>
        </w:rPr>
        <w:t>: заместитель руководителя администрации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комитета по финансам администрации муниципального района Погорелая Л.А., председатель комит</w:t>
      </w:r>
      <w:r w:rsidR="009335FA">
        <w:rPr>
          <w:rFonts w:ascii="Times New Roman" w:hAnsi="Times New Roman"/>
          <w:sz w:val="28"/>
          <w:szCs w:val="28"/>
        </w:rPr>
        <w:t>ета образования – Стрелкова А.А.</w:t>
      </w:r>
      <w:r>
        <w:rPr>
          <w:rFonts w:ascii="Times New Roman" w:hAnsi="Times New Roman"/>
          <w:sz w:val="28"/>
          <w:szCs w:val="28"/>
        </w:rPr>
        <w:t>, председатель Совета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Тунгокоченский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район» - Кривоногих Т.Г.</w:t>
      </w:r>
      <w:r w:rsidR="009335FA">
        <w:rPr>
          <w:rFonts w:ascii="Times New Roman" w:hAnsi="Times New Roman"/>
          <w:sz w:val="28"/>
          <w:szCs w:val="28"/>
        </w:rPr>
        <w:t xml:space="preserve"> и другие.</w:t>
      </w:r>
    </w:p>
    <w:p w:rsidR="009075D5" w:rsidRDefault="009075D5" w:rsidP="009075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Повестка дня: </w:t>
      </w:r>
    </w:p>
    <w:p w:rsidR="009075D5" w:rsidRPr="009335FA" w:rsidRDefault="009075D5" w:rsidP="009075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проекта решения Совета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Тунгокоченский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«</w:t>
      </w:r>
      <w:r w:rsidR="009335FA" w:rsidRPr="009335FA">
        <w:rPr>
          <w:rFonts w:ascii="Times New Roman" w:hAnsi="Times New Roman"/>
          <w:sz w:val="28"/>
          <w:szCs w:val="28"/>
        </w:rPr>
        <w:t xml:space="preserve">Об утверждении бюджета  муниципального района </w:t>
      </w:r>
      <w:proofErr w:type="spellStart"/>
      <w:r w:rsidR="009335FA" w:rsidRPr="009335FA">
        <w:rPr>
          <w:rFonts w:ascii="Times New Roman" w:hAnsi="Times New Roman"/>
          <w:sz w:val="28"/>
          <w:szCs w:val="28"/>
        </w:rPr>
        <w:t>Тунгокоченский</w:t>
      </w:r>
      <w:proofErr w:type="spellEnd"/>
      <w:r w:rsidR="009335FA" w:rsidRPr="009335FA">
        <w:rPr>
          <w:rFonts w:ascii="Times New Roman" w:hAnsi="Times New Roman"/>
          <w:sz w:val="28"/>
          <w:szCs w:val="28"/>
        </w:rPr>
        <w:t xml:space="preserve"> район на 2022 год и плановый период 2023-2024 годов»</w:t>
      </w:r>
      <w:r w:rsidRPr="009335FA">
        <w:rPr>
          <w:rFonts w:ascii="Times New Roman" w:hAnsi="Times New Roman"/>
          <w:sz w:val="28"/>
          <w:szCs w:val="28"/>
        </w:rPr>
        <w:t>.</w:t>
      </w:r>
    </w:p>
    <w:p w:rsidR="009075D5" w:rsidRPr="009075D5" w:rsidRDefault="009075D5" w:rsidP="009075D5">
      <w:pPr>
        <w:pStyle w:val="a5"/>
        <w:jc w:val="both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Слушали: </w:t>
      </w:r>
      <w:proofErr w:type="gramStart"/>
      <w:r>
        <w:rPr>
          <w:sz w:val="28"/>
          <w:szCs w:val="28"/>
        </w:rPr>
        <w:t>Погорелую</w:t>
      </w:r>
      <w:proofErr w:type="gramEnd"/>
      <w:r w:rsidR="009335FA">
        <w:rPr>
          <w:sz w:val="28"/>
          <w:szCs w:val="28"/>
        </w:rPr>
        <w:t xml:space="preserve"> Л.А. – заместителя главы</w:t>
      </w:r>
      <w:r>
        <w:rPr>
          <w:sz w:val="28"/>
          <w:szCs w:val="28"/>
        </w:rPr>
        <w:t xml:space="preserve"> администрации муниципального района «</w:t>
      </w:r>
      <w:proofErr w:type="spellStart"/>
      <w:r>
        <w:rPr>
          <w:sz w:val="28"/>
          <w:szCs w:val="28"/>
        </w:rPr>
        <w:t>Тунгокоченский</w:t>
      </w:r>
      <w:proofErr w:type="spellEnd"/>
      <w:r>
        <w:rPr>
          <w:sz w:val="28"/>
          <w:szCs w:val="28"/>
        </w:rPr>
        <w:t xml:space="preserve"> район», председателя комитета по финансам администрации муниципального района</w:t>
      </w:r>
      <w:r w:rsidR="009335FA">
        <w:rPr>
          <w:sz w:val="28"/>
          <w:szCs w:val="28"/>
        </w:rPr>
        <w:t xml:space="preserve"> «</w:t>
      </w:r>
      <w:proofErr w:type="spellStart"/>
      <w:r w:rsidR="009335FA">
        <w:rPr>
          <w:sz w:val="28"/>
          <w:szCs w:val="28"/>
        </w:rPr>
        <w:t>Тунгокоченский</w:t>
      </w:r>
      <w:proofErr w:type="spellEnd"/>
      <w:r w:rsidR="009335F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.                                                                                                        </w:t>
      </w:r>
      <w:r>
        <w:rPr>
          <w:b/>
          <w:sz w:val="28"/>
          <w:szCs w:val="28"/>
        </w:rPr>
        <w:lastRenderedPageBreak/>
        <w:t>Доходы:</w:t>
      </w:r>
      <w:r>
        <w:rPr>
          <w:b/>
          <w:bCs/>
          <w:i/>
          <w:iCs/>
          <w:sz w:val="28"/>
          <w:szCs w:val="28"/>
        </w:rPr>
        <w:t xml:space="preserve"> </w:t>
      </w:r>
      <w:r w:rsidRPr="001602CC">
        <w:rPr>
          <w:sz w:val="28"/>
          <w:szCs w:val="28"/>
        </w:rPr>
        <w:t>Параметры  бюджета муниципального района на 2022 год и плановый период 2023-2024 годов обеспечивают преемственность показателей, заложенных в прогнозе социально экономического развития муниципального района  на 2022-2024 годы.</w:t>
      </w:r>
    </w:p>
    <w:p w:rsidR="009075D5" w:rsidRPr="00DC25E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5E5">
        <w:rPr>
          <w:rFonts w:ascii="Times New Roman" w:hAnsi="Times New Roman"/>
          <w:sz w:val="28"/>
          <w:szCs w:val="28"/>
        </w:rPr>
        <w:t xml:space="preserve">          В основу формирования показателей  бюджета муниципального района положены элементы налогового и бюджетного законодательства действующего в 2021 году, с учетом изменений вводимых   федеральными законами и  с учетом принятых Решений  Совета муниципального района «</w:t>
      </w:r>
      <w:proofErr w:type="spellStart"/>
      <w:r w:rsidRPr="00DC25E5">
        <w:rPr>
          <w:rFonts w:ascii="Times New Roman" w:hAnsi="Times New Roman"/>
          <w:sz w:val="28"/>
          <w:szCs w:val="28"/>
        </w:rPr>
        <w:t>Тунгокоченский</w:t>
      </w:r>
      <w:proofErr w:type="spellEnd"/>
      <w:r w:rsidRPr="00DC25E5">
        <w:rPr>
          <w:rFonts w:ascii="Times New Roman" w:hAnsi="Times New Roman"/>
          <w:sz w:val="28"/>
          <w:szCs w:val="28"/>
        </w:rPr>
        <w:t xml:space="preserve"> район» на 2022 и последующие года 2023-2024 года.</w:t>
      </w:r>
    </w:p>
    <w:p w:rsidR="009075D5" w:rsidRPr="00DC25E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5E5">
        <w:rPr>
          <w:rFonts w:ascii="Times New Roman" w:hAnsi="Times New Roman"/>
          <w:sz w:val="28"/>
          <w:szCs w:val="28"/>
        </w:rPr>
        <w:t xml:space="preserve">         При прогнозировании доходов бюджета муниципального  района  на 2022 год и плановый период 2023-2024 года  учтены основные направления бюджетной и налоговой </w:t>
      </w:r>
      <w:proofErr w:type="gramStart"/>
      <w:r w:rsidRPr="00DC25E5">
        <w:rPr>
          <w:rFonts w:ascii="Times New Roman" w:hAnsi="Times New Roman"/>
          <w:sz w:val="28"/>
          <w:szCs w:val="28"/>
        </w:rPr>
        <w:t>политики</w:t>
      </w:r>
      <w:proofErr w:type="gramEnd"/>
      <w:r w:rsidRPr="00DC25E5">
        <w:rPr>
          <w:rFonts w:ascii="Times New Roman" w:hAnsi="Times New Roman"/>
          <w:sz w:val="28"/>
          <w:szCs w:val="28"/>
        </w:rPr>
        <w:t xml:space="preserve">  на очередной финансовый год, реализация которых возможна  за счет проведения целенаправленной работы по укреплению доходной базы бюджетной системы района, улучшению  показателей  собираемости  доходов, снижению налоговой задолженности,  привлечению дополнительный ресурсов. </w:t>
      </w:r>
    </w:p>
    <w:p w:rsidR="009075D5" w:rsidRPr="00DC25E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5E5">
        <w:rPr>
          <w:rFonts w:ascii="Times New Roman" w:hAnsi="Times New Roman"/>
          <w:sz w:val="28"/>
          <w:szCs w:val="28"/>
        </w:rPr>
        <w:t xml:space="preserve">        Проектировки  доходов  бюджета муниципального района  на 2022 год и плановый период 2023-2024 годов рассчитаны  на основании   основных   показателей социально-экономического развития  муниципального района «</w:t>
      </w:r>
      <w:proofErr w:type="spellStart"/>
      <w:r w:rsidRPr="00DC25E5">
        <w:rPr>
          <w:rFonts w:ascii="Times New Roman" w:hAnsi="Times New Roman"/>
          <w:sz w:val="28"/>
          <w:szCs w:val="28"/>
        </w:rPr>
        <w:t>Тунгокоченский</w:t>
      </w:r>
      <w:proofErr w:type="spellEnd"/>
      <w:r w:rsidRPr="00DC25E5">
        <w:rPr>
          <w:rFonts w:ascii="Times New Roman" w:hAnsi="Times New Roman"/>
          <w:sz w:val="28"/>
          <w:szCs w:val="28"/>
        </w:rPr>
        <w:t xml:space="preserve"> район», с учетом единых для всех муниципальных  районов нормативом отчислений от налогов и </w:t>
      </w:r>
      <w:proofErr w:type="gramStart"/>
      <w:r w:rsidRPr="00DC25E5">
        <w:rPr>
          <w:rFonts w:ascii="Times New Roman" w:hAnsi="Times New Roman"/>
          <w:sz w:val="28"/>
          <w:szCs w:val="28"/>
        </w:rPr>
        <w:t>сборов</w:t>
      </w:r>
      <w:proofErr w:type="gramEnd"/>
      <w:r w:rsidRPr="00DC25E5">
        <w:rPr>
          <w:rFonts w:ascii="Times New Roman" w:hAnsi="Times New Roman"/>
          <w:sz w:val="28"/>
          <w:szCs w:val="28"/>
        </w:rPr>
        <w:t xml:space="preserve"> установленных Законом  Забайкальского края   «О межбюджетных отношениях в Забайкальском крае». </w:t>
      </w:r>
    </w:p>
    <w:p w:rsidR="009075D5" w:rsidRPr="00DC25E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5E5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DC25E5">
        <w:rPr>
          <w:rFonts w:ascii="Times New Roman" w:hAnsi="Times New Roman"/>
          <w:sz w:val="28"/>
          <w:szCs w:val="28"/>
        </w:rPr>
        <w:t>Общий объем доходов  муниципального района на 2022 год прогнозируется в объеме 651538,6 тыс. рублей или с   повышением на  24,5 %  к  объему годовых бюджетных назначений, первоначально  утвержденных Решением Совета муниципального района «</w:t>
      </w:r>
      <w:proofErr w:type="spellStart"/>
      <w:r w:rsidRPr="00DC25E5">
        <w:rPr>
          <w:rFonts w:ascii="Times New Roman" w:hAnsi="Times New Roman"/>
          <w:sz w:val="28"/>
          <w:szCs w:val="28"/>
        </w:rPr>
        <w:t>Тунгокоченский</w:t>
      </w:r>
      <w:proofErr w:type="spellEnd"/>
      <w:r w:rsidRPr="00DC25E5">
        <w:rPr>
          <w:rFonts w:ascii="Times New Roman" w:hAnsi="Times New Roman"/>
          <w:sz w:val="28"/>
          <w:szCs w:val="28"/>
        </w:rPr>
        <w:t xml:space="preserve"> район» на 2021год   (или на 128321,4 тыс. руб. больше), на 2023 год объем доходов прогнозируется в сумме 578300,9 тыс. руб., на 2024 год  объем доходов прогнозируется в сумме 574878,6</w:t>
      </w:r>
      <w:proofErr w:type="gramEnd"/>
      <w:r w:rsidRPr="00DC25E5">
        <w:rPr>
          <w:rFonts w:ascii="Times New Roman" w:hAnsi="Times New Roman"/>
          <w:sz w:val="28"/>
          <w:szCs w:val="28"/>
        </w:rPr>
        <w:t xml:space="preserve"> тыс. руб.  </w:t>
      </w:r>
    </w:p>
    <w:p w:rsidR="009075D5" w:rsidRPr="00DC25E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5E5">
        <w:rPr>
          <w:rFonts w:ascii="Times New Roman" w:hAnsi="Times New Roman"/>
          <w:sz w:val="28"/>
          <w:szCs w:val="28"/>
        </w:rPr>
        <w:t xml:space="preserve">        Налоговые и неналоговые доходы  бюджета муниципального района  на 2022 год прогнозируются в объеме 219850,0  тыс. руб. с повышением  на 50,7 процентов  к объему   годовых бюджетных назначений, первоначально  утвержденных Решение Совета   муниципального района «</w:t>
      </w:r>
      <w:proofErr w:type="spellStart"/>
      <w:r w:rsidRPr="00DC25E5">
        <w:rPr>
          <w:rFonts w:ascii="Times New Roman" w:hAnsi="Times New Roman"/>
          <w:sz w:val="28"/>
          <w:szCs w:val="28"/>
        </w:rPr>
        <w:t>Ту</w:t>
      </w:r>
      <w:r w:rsidR="009335FA">
        <w:rPr>
          <w:rFonts w:ascii="Times New Roman" w:hAnsi="Times New Roman"/>
          <w:sz w:val="28"/>
          <w:szCs w:val="28"/>
        </w:rPr>
        <w:t>нгокоченский</w:t>
      </w:r>
      <w:proofErr w:type="spellEnd"/>
      <w:r w:rsidR="009335FA">
        <w:rPr>
          <w:rFonts w:ascii="Times New Roman" w:hAnsi="Times New Roman"/>
          <w:sz w:val="28"/>
          <w:szCs w:val="28"/>
        </w:rPr>
        <w:t xml:space="preserve"> район» на 2021 год</w:t>
      </w:r>
      <w:r w:rsidRPr="00DC25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25E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C25E5">
        <w:rPr>
          <w:rFonts w:ascii="Times New Roman" w:hAnsi="Times New Roman"/>
          <w:sz w:val="28"/>
          <w:szCs w:val="28"/>
        </w:rPr>
        <w:t>2021  год- 145836,6   тыс. руб. на 74013,4 тыс. руб. больше). Причина повышения  объема прогнозируемых доходов:</w:t>
      </w:r>
    </w:p>
    <w:p w:rsidR="009075D5" w:rsidRPr="00DC25E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5E5">
        <w:rPr>
          <w:rFonts w:ascii="Times New Roman" w:hAnsi="Times New Roman"/>
          <w:sz w:val="28"/>
          <w:szCs w:val="28"/>
        </w:rPr>
        <w:t>-увеличения прогноза по поступлению налога на доходы физических лиц  на 52428,2 тыс. рублей больше, в связи с увеличением рабочих мест на предприят</w:t>
      </w:r>
      <w:proofErr w:type="gramStart"/>
      <w:r w:rsidRPr="00DC25E5">
        <w:rPr>
          <w:rFonts w:ascii="Times New Roman" w:hAnsi="Times New Roman"/>
          <w:sz w:val="28"/>
          <w:szCs w:val="28"/>
        </w:rPr>
        <w:t xml:space="preserve">ии </w:t>
      </w:r>
      <w:r w:rsidR="009335FA">
        <w:rPr>
          <w:rFonts w:ascii="Times New Roman" w:hAnsi="Times New Roman"/>
          <w:sz w:val="28"/>
          <w:szCs w:val="28"/>
        </w:rPr>
        <w:t xml:space="preserve"> </w:t>
      </w:r>
      <w:r w:rsidRPr="00DC25E5">
        <w:rPr>
          <w:rFonts w:ascii="Times New Roman" w:hAnsi="Times New Roman"/>
          <w:sz w:val="28"/>
          <w:szCs w:val="28"/>
        </w:rPr>
        <w:t>ООО</w:t>
      </w:r>
      <w:proofErr w:type="gramEnd"/>
      <w:r w:rsidRPr="00DC25E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C25E5">
        <w:rPr>
          <w:rFonts w:ascii="Times New Roman" w:hAnsi="Times New Roman"/>
          <w:sz w:val="28"/>
          <w:szCs w:val="28"/>
        </w:rPr>
        <w:t>Дарасунский</w:t>
      </w:r>
      <w:proofErr w:type="spellEnd"/>
      <w:r w:rsidRPr="00DC25E5">
        <w:rPr>
          <w:rFonts w:ascii="Times New Roman" w:hAnsi="Times New Roman"/>
          <w:sz w:val="28"/>
          <w:szCs w:val="28"/>
        </w:rPr>
        <w:t xml:space="preserve"> Рудник», стабильная работа предприятия и своевременная выплата заработной платы работникам.</w:t>
      </w:r>
    </w:p>
    <w:p w:rsidR="009075D5" w:rsidRPr="00DC25E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5E5">
        <w:rPr>
          <w:rFonts w:ascii="Times New Roman" w:hAnsi="Times New Roman"/>
          <w:sz w:val="28"/>
          <w:szCs w:val="28"/>
        </w:rPr>
        <w:lastRenderedPageBreak/>
        <w:t xml:space="preserve">        Налоговые и неналоговые доходы  бюджета муниципального района  на 2023 год прогнозируются в сумме – 237207,0 тыс. рублей, на 2024 год -258875,1 тыс. рублей.</w:t>
      </w:r>
    </w:p>
    <w:p w:rsidR="009075D5" w:rsidRPr="00DC25E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5E5">
        <w:rPr>
          <w:rFonts w:ascii="Times New Roman" w:hAnsi="Times New Roman"/>
          <w:sz w:val="28"/>
          <w:szCs w:val="28"/>
        </w:rPr>
        <w:t xml:space="preserve">         Размер налоговых доходов на 2022 год составляет 215443,5   тыс. руб. неналоговых 4406,5 тыс. руб. В составе  налоговых доходов учтены доходы:</w:t>
      </w:r>
    </w:p>
    <w:p w:rsidR="009075D5" w:rsidRPr="00DC25E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5E5">
        <w:rPr>
          <w:rFonts w:ascii="Times New Roman" w:hAnsi="Times New Roman"/>
          <w:sz w:val="28"/>
          <w:szCs w:val="28"/>
        </w:rPr>
        <w:t>Налог на доходы физических лиц - 176700 тыс. руб.;</w:t>
      </w:r>
    </w:p>
    <w:p w:rsidR="009075D5" w:rsidRPr="00DC25E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5E5">
        <w:rPr>
          <w:rFonts w:ascii="Times New Roman" w:hAnsi="Times New Roman"/>
          <w:sz w:val="28"/>
          <w:szCs w:val="28"/>
        </w:rPr>
        <w:t xml:space="preserve">Акцизы –9285,2 тыс. руб.; </w:t>
      </w:r>
    </w:p>
    <w:p w:rsidR="009075D5" w:rsidRPr="00DC25E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5E5">
        <w:rPr>
          <w:rFonts w:ascii="Times New Roman" w:hAnsi="Times New Roman"/>
          <w:sz w:val="28"/>
          <w:szCs w:val="28"/>
        </w:rPr>
        <w:t>Налоги на совокупный доход – 2876,3 тыс. руб.</w:t>
      </w:r>
    </w:p>
    <w:p w:rsidR="009075D5" w:rsidRPr="00DC25E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5E5">
        <w:rPr>
          <w:rFonts w:ascii="Times New Roman" w:hAnsi="Times New Roman"/>
          <w:sz w:val="28"/>
          <w:szCs w:val="28"/>
        </w:rPr>
        <w:t>Государственная пошлина – 1055,0 тыс. руб.</w:t>
      </w:r>
    </w:p>
    <w:p w:rsidR="009075D5" w:rsidRPr="00DC25E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5E5">
        <w:rPr>
          <w:rFonts w:ascii="Times New Roman" w:hAnsi="Times New Roman"/>
          <w:sz w:val="28"/>
          <w:szCs w:val="28"/>
        </w:rPr>
        <w:t>Налог на имущество физических лиц, за имущество находящееся на межселенной территории – 3,0 тыс. руб.;</w:t>
      </w:r>
    </w:p>
    <w:p w:rsidR="009075D5" w:rsidRPr="00DC25E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5E5">
        <w:rPr>
          <w:rFonts w:ascii="Times New Roman" w:hAnsi="Times New Roman"/>
          <w:sz w:val="28"/>
          <w:szCs w:val="28"/>
        </w:rPr>
        <w:t>Земельный налог, за земли расположенные на межселенной территории – 9,0 тыс. руб.;</w:t>
      </w:r>
    </w:p>
    <w:p w:rsidR="009075D5" w:rsidRPr="00DC25E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5E5">
        <w:rPr>
          <w:rFonts w:ascii="Times New Roman" w:hAnsi="Times New Roman"/>
          <w:sz w:val="28"/>
          <w:szCs w:val="28"/>
        </w:rPr>
        <w:t>Налог на добычу полезных ископаемых- 25515,0 тыс. руб. из них:</w:t>
      </w:r>
    </w:p>
    <w:p w:rsidR="009075D5" w:rsidRPr="00DC25E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5E5">
        <w:rPr>
          <w:rFonts w:ascii="Times New Roman" w:hAnsi="Times New Roman"/>
          <w:sz w:val="28"/>
          <w:szCs w:val="28"/>
        </w:rPr>
        <w:t xml:space="preserve">-налог на добычу прочих полезных ископаемых 25515,0 тыс. руб., плательщик ООО «Вершино-Дарасунский Рудник» </w:t>
      </w:r>
    </w:p>
    <w:p w:rsidR="009075D5" w:rsidRPr="00DC25E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5E5">
        <w:rPr>
          <w:rFonts w:ascii="Times New Roman" w:hAnsi="Times New Roman"/>
          <w:sz w:val="28"/>
          <w:szCs w:val="28"/>
        </w:rPr>
        <w:t>Государственная пошлина 1055,0 тыс. руб.</w:t>
      </w:r>
    </w:p>
    <w:p w:rsidR="009075D5" w:rsidRPr="00DC25E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5E5">
        <w:rPr>
          <w:rFonts w:ascii="Times New Roman" w:hAnsi="Times New Roman"/>
          <w:sz w:val="28"/>
          <w:szCs w:val="28"/>
        </w:rPr>
        <w:t xml:space="preserve">В структуре неналоговых доходов учтены доходы: </w:t>
      </w:r>
    </w:p>
    <w:p w:rsidR="009075D5" w:rsidRPr="00DC25E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5E5">
        <w:rPr>
          <w:rFonts w:ascii="Times New Roman" w:hAnsi="Times New Roman"/>
          <w:sz w:val="28"/>
          <w:szCs w:val="28"/>
        </w:rPr>
        <w:t xml:space="preserve">-арендная плата за земельные </w:t>
      </w:r>
      <w:proofErr w:type="gramStart"/>
      <w:r w:rsidRPr="00DC25E5">
        <w:rPr>
          <w:rFonts w:ascii="Times New Roman" w:hAnsi="Times New Roman"/>
          <w:sz w:val="28"/>
          <w:szCs w:val="28"/>
        </w:rPr>
        <w:t>участки</w:t>
      </w:r>
      <w:proofErr w:type="gramEnd"/>
      <w:r w:rsidRPr="00DC25E5">
        <w:rPr>
          <w:rFonts w:ascii="Times New Roman" w:hAnsi="Times New Roman"/>
          <w:sz w:val="28"/>
          <w:szCs w:val="28"/>
        </w:rPr>
        <w:t xml:space="preserve"> которые расположены в границах городского  поселения  -500,0 тыс. руб.;</w:t>
      </w:r>
    </w:p>
    <w:p w:rsidR="009075D5" w:rsidRPr="00DC25E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5E5">
        <w:rPr>
          <w:rFonts w:ascii="Times New Roman" w:hAnsi="Times New Roman"/>
          <w:sz w:val="28"/>
          <w:szCs w:val="28"/>
        </w:rPr>
        <w:t xml:space="preserve">сельского поселения -300,0 тыс. </w:t>
      </w:r>
      <w:proofErr w:type="spellStart"/>
      <w:r w:rsidRPr="00DC25E5">
        <w:rPr>
          <w:rFonts w:ascii="Times New Roman" w:hAnsi="Times New Roman"/>
          <w:sz w:val="28"/>
          <w:szCs w:val="28"/>
        </w:rPr>
        <w:t>руб</w:t>
      </w:r>
      <w:proofErr w:type="spellEnd"/>
      <w:r w:rsidRPr="00DC25E5">
        <w:rPr>
          <w:rFonts w:ascii="Times New Roman" w:hAnsi="Times New Roman"/>
          <w:sz w:val="28"/>
          <w:szCs w:val="28"/>
        </w:rPr>
        <w:t>;</w:t>
      </w:r>
    </w:p>
    <w:p w:rsidR="009075D5" w:rsidRPr="00DC25E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5E5">
        <w:rPr>
          <w:rFonts w:ascii="Times New Roman" w:hAnsi="Times New Roman"/>
          <w:sz w:val="28"/>
          <w:szCs w:val="28"/>
        </w:rPr>
        <w:t>-аренда имущества -500,0 тыс. руб.;</w:t>
      </w:r>
    </w:p>
    <w:p w:rsidR="009075D5" w:rsidRPr="00DC25E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5E5">
        <w:rPr>
          <w:rFonts w:ascii="Times New Roman" w:hAnsi="Times New Roman"/>
          <w:sz w:val="28"/>
          <w:szCs w:val="28"/>
        </w:rPr>
        <w:t>-платежи за пользование природными ресурсами – 280,0 тыс. руб.;</w:t>
      </w:r>
    </w:p>
    <w:p w:rsidR="009075D5" w:rsidRPr="00DC25E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5E5">
        <w:rPr>
          <w:rFonts w:ascii="Times New Roman" w:hAnsi="Times New Roman"/>
          <w:sz w:val="28"/>
          <w:szCs w:val="28"/>
        </w:rPr>
        <w:t xml:space="preserve">- доходы от оказания </w:t>
      </w:r>
      <w:proofErr w:type="gramStart"/>
      <w:r w:rsidRPr="00DC25E5">
        <w:rPr>
          <w:rFonts w:ascii="Times New Roman" w:hAnsi="Times New Roman"/>
          <w:sz w:val="28"/>
          <w:szCs w:val="28"/>
        </w:rPr>
        <w:t>платных</w:t>
      </w:r>
      <w:proofErr w:type="gramEnd"/>
      <w:r w:rsidRPr="00DC25E5">
        <w:rPr>
          <w:rFonts w:ascii="Times New Roman" w:hAnsi="Times New Roman"/>
          <w:sz w:val="28"/>
          <w:szCs w:val="28"/>
        </w:rPr>
        <w:t xml:space="preserve"> ус луг -221,0 тыс. руб.</w:t>
      </w:r>
    </w:p>
    <w:p w:rsidR="009075D5" w:rsidRPr="00DC25E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5E5">
        <w:rPr>
          <w:rFonts w:ascii="Times New Roman" w:hAnsi="Times New Roman"/>
          <w:sz w:val="28"/>
          <w:szCs w:val="28"/>
        </w:rPr>
        <w:t>- доходы от продажи материальных и нематериальных активов – 100,0 тыс. руб.</w:t>
      </w:r>
    </w:p>
    <w:p w:rsidR="009075D5" w:rsidRPr="00DC25E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5E5">
        <w:rPr>
          <w:rFonts w:ascii="Times New Roman" w:hAnsi="Times New Roman"/>
          <w:sz w:val="28"/>
          <w:szCs w:val="28"/>
        </w:rPr>
        <w:t>-штрафы, санкции, возмещение ущерба  1400,0 тыс.  руб.;</w:t>
      </w:r>
    </w:p>
    <w:p w:rsidR="009075D5" w:rsidRPr="00DC25E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5E5">
        <w:rPr>
          <w:rFonts w:ascii="Times New Roman" w:hAnsi="Times New Roman"/>
          <w:sz w:val="28"/>
          <w:szCs w:val="28"/>
        </w:rPr>
        <w:t>-прочие неналоговые доходы  1100,0 тыс. руб.;</w:t>
      </w:r>
    </w:p>
    <w:p w:rsidR="009075D5" w:rsidRPr="00DC25E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5E5">
        <w:rPr>
          <w:rFonts w:ascii="Times New Roman" w:hAnsi="Times New Roman"/>
          <w:sz w:val="28"/>
          <w:szCs w:val="28"/>
        </w:rPr>
        <w:t xml:space="preserve">           В структуре  налоговых и неналоговых доходов  бюджета муниципального района  на 2022 год  налоговые доходы составляют 98,0 процентов, неналоговые доходы 2,0 процента.</w:t>
      </w:r>
    </w:p>
    <w:p w:rsidR="009075D5" w:rsidRPr="00DC25E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5E5">
        <w:rPr>
          <w:rFonts w:ascii="Times New Roman" w:hAnsi="Times New Roman"/>
          <w:sz w:val="28"/>
          <w:szCs w:val="28"/>
        </w:rPr>
        <w:t xml:space="preserve">           В объеме налоговых и неналоговых доходов  наибольший удельный вес занимают следующие налоги:</w:t>
      </w:r>
    </w:p>
    <w:p w:rsidR="009075D5" w:rsidRPr="00DC25E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5E5">
        <w:rPr>
          <w:rFonts w:ascii="Times New Roman" w:hAnsi="Times New Roman"/>
          <w:sz w:val="28"/>
          <w:szCs w:val="28"/>
        </w:rPr>
        <w:t>Налог на доходы физических лиц- 80,4%,</w:t>
      </w:r>
    </w:p>
    <w:p w:rsidR="009075D5" w:rsidRPr="00DC25E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5E5">
        <w:rPr>
          <w:rFonts w:ascii="Times New Roman" w:hAnsi="Times New Roman"/>
          <w:sz w:val="28"/>
          <w:szCs w:val="28"/>
        </w:rPr>
        <w:t xml:space="preserve">Налог на добычу полезных ископаемых- 11,6 %; </w:t>
      </w:r>
    </w:p>
    <w:p w:rsidR="009075D5" w:rsidRPr="00DC25E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5E5">
        <w:rPr>
          <w:rFonts w:ascii="Times New Roman" w:hAnsi="Times New Roman"/>
          <w:sz w:val="28"/>
          <w:szCs w:val="28"/>
        </w:rPr>
        <w:t>Доходы от уплаты акцизов - 4,2 %</w:t>
      </w:r>
    </w:p>
    <w:p w:rsidR="009075D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5E5">
        <w:rPr>
          <w:rFonts w:ascii="Times New Roman" w:hAnsi="Times New Roman"/>
          <w:sz w:val="28"/>
          <w:szCs w:val="28"/>
        </w:rPr>
        <w:t>Налоги на совокупный доход –1,3 %</w:t>
      </w:r>
    </w:p>
    <w:p w:rsidR="009075D5" w:rsidRPr="009075D5" w:rsidRDefault="009075D5" w:rsidP="009075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75D5">
        <w:rPr>
          <w:rFonts w:ascii="Times New Roman" w:hAnsi="Times New Roman"/>
          <w:b/>
          <w:sz w:val="28"/>
          <w:szCs w:val="28"/>
        </w:rPr>
        <w:t>Особенности составления расчетов по основным источникам доходов.</w:t>
      </w:r>
    </w:p>
    <w:p w:rsidR="009075D5" w:rsidRPr="009075D5" w:rsidRDefault="009075D5" w:rsidP="009075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75D5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075D5" w:rsidRPr="00DC25E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5E5">
        <w:rPr>
          <w:rFonts w:ascii="Times New Roman" w:hAnsi="Times New Roman"/>
          <w:sz w:val="28"/>
          <w:szCs w:val="28"/>
        </w:rPr>
        <w:lastRenderedPageBreak/>
        <w:t xml:space="preserve">Прогноз поступлений налога на доходы физических лиц рассчитан в соответствии с положением главы 23 «Налог на доходы физических лиц» части второй Налогового  кодекса Российской Федерации и  с учетом Закона Забайкальского края «О межбюджетных отношениях».    </w:t>
      </w:r>
    </w:p>
    <w:p w:rsidR="009075D5" w:rsidRPr="00DC25E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5E5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DC25E5">
        <w:rPr>
          <w:rFonts w:ascii="Times New Roman" w:hAnsi="Times New Roman"/>
          <w:sz w:val="28"/>
          <w:szCs w:val="28"/>
        </w:rPr>
        <w:t>На основании Решения Совета муниципального района «</w:t>
      </w:r>
      <w:proofErr w:type="spellStart"/>
      <w:r w:rsidRPr="00DC25E5">
        <w:rPr>
          <w:rFonts w:ascii="Times New Roman" w:hAnsi="Times New Roman"/>
          <w:sz w:val="28"/>
          <w:szCs w:val="28"/>
        </w:rPr>
        <w:t>Тунгокоченский</w:t>
      </w:r>
      <w:proofErr w:type="spellEnd"/>
      <w:r w:rsidRPr="00DC25E5">
        <w:rPr>
          <w:rFonts w:ascii="Times New Roman" w:hAnsi="Times New Roman"/>
          <w:sz w:val="28"/>
          <w:szCs w:val="28"/>
        </w:rPr>
        <w:t xml:space="preserve"> район» от 27 сентября  2021 года № 20/4 «О согласии на полную  или частичную замену дотаций на выравнивание бюджетной обеспеченности  муниципального района «</w:t>
      </w:r>
      <w:proofErr w:type="spellStart"/>
      <w:r w:rsidRPr="00DC25E5">
        <w:rPr>
          <w:rFonts w:ascii="Times New Roman" w:hAnsi="Times New Roman"/>
          <w:sz w:val="28"/>
          <w:szCs w:val="28"/>
        </w:rPr>
        <w:t>Тунгокоченский</w:t>
      </w:r>
      <w:proofErr w:type="spellEnd"/>
      <w:r w:rsidRPr="00DC25E5">
        <w:rPr>
          <w:rFonts w:ascii="Times New Roman" w:hAnsi="Times New Roman"/>
          <w:sz w:val="28"/>
          <w:szCs w:val="28"/>
        </w:rPr>
        <w:t xml:space="preserve"> район» дополнительными нормативами отчислений  в бюджет муниципального района «</w:t>
      </w:r>
      <w:proofErr w:type="spellStart"/>
      <w:r w:rsidRPr="00DC25E5">
        <w:rPr>
          <w:rFonts w:ascii="Times New Roman" w:hAnsi="Times New Roman"/>
          <w:sz w:val="28"/>
          <w:szCs w:val="28"/>
        </w:rPr>
        <w:t>Тунгокоченский</w:t>
      </w:r>
      <w:proofErr w:type="spellEnd"/>
      <w:r w:rsidRPr="00DC25E5">
        <w:rPr>
          <w:rFonts w:ascii="Times New Roman" w:hAnsi="Times New Roman"/>
          <w:sz w:val="28"/>
          <w:szCs w:val="28"/>
        </w:rPr>
        <w:t xml:space="preserve"> район» от налога на доходы физических лиц», в соответствии с проектом  Закона  Забайкальского края «О бюджете Забайкальского края на 2022 год</w:t>
      </w:r>
      <w:proofErr w:type="gramEnd"/>
      <w:r w:rsidRPr="00DC25E5">
        <w:rPr>
          <w:rFonts w:ascii="Times New Roman" w:hAnsi="Times New Roman"/>
          <w:sz w:val="28"/>
          <w:szCs w:val="28"/>
        </w:rPr>
        <w:t xml:space="preserve"> и плановый период 2023-2024 годов » в  бюджет муниципального  района переданы дополнительные нормативы отчислений, в размере 85%, в соответствии с этим  НДФЛ  на 2022 год рассчитан в сумме 176700,0 тыс. рублей, на 2023 год - 189400,0 тыс. рублей, на 2024 год – в сумме - 202900,0 тыс. рублей.</w:t>
      </w:r>
    </w:p>
    <w:p w:rsidR="009075D5" w:rsidRPr="00DC25E5" w:rsidRDefault="009075D5" w:rsidP="009075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C25E5">
        <w:rPr>
          <w:rFonts w:ascii="Times New Roman" w:hAnsi="Times New Roman"/>
          <w:b/>
          <w:sz w:val="28"/>
          <w:szCs w:val="28"/>
        </w:rPr>
        <w:t>Акцизы</w:t>
      </w:r>
    </w:p>
    <w:p w:rsidR="009075D5" w:rsidRPr="009075D5" w:rsidRDefault="009075D5" w:rsidP="00933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C25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25E5">
        <w:rPr>
          <w:rFonts w:ascii="Times New Roman" w:hAnsi="Times New Roman"/>
          <w:sz w:val="28"/>
          <w:szCs w:val="28"/>
        </w:rPr>
        <w:t>Акцизы на автомобильный и прямогонный бензин, дизельное топливо, моторные масла для дизельных  и (или) карбюраторных (</w:t>
      </w:r>
      <w:proofErr w:type="spellStart"/>
      <w:r w:rsidRPr="00DC25E5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DC25E5">
        <w:rPr>
          <w:rFonts w:ascii="Times New Roman" w:hAnsi="Times New Roman"/>
          <w:sz w:val="28"/>
          <w:szCs w:val="28"/>
        </w:rPr>
        <w:t>) производимые на территории Российской Федерации, распределяются в бюджет района  по нормативу 20 процентов,  исходя из протяженности автомобильных дорог  местного значения и составляют  на 2022 год -9285,2 тыс. руб., на 2023 год – 9421,6 тыс. руб.,  на 2024 год – 9487,5 тыс. рублей.</w:t>
      </w:r>
      <w:proofErr w:type="gramEnd"/>
      <w:r w:rsidRPr="00DC25E5">
        <w:rPr>
          <w:rFonts w:ascii="Times New Roman" w:hAnsi="Times New Roman"/>
          <w:sz w:val="28"/>
          <w:szCs w:val="28"/>
        </w:rPr>
        <w:t xml:space="preserve"> </w:t>
      </w:r>
      <w:r w:rsidRPr="009335FA">
        <w:rPr>
          <w:rFonts w:ascii="Times New Roman" w:hAnsi="Times New Roman"/>
          <w:b/>
          <w:sz w:val="28"/>
          <w:szCs w:val="28"/>
        </w:rPr>
        <w:t>Налог на добычу полезных ископаемых</w:t>
      </w:r>
    </w:p>
    <w:p w:rsidR="009075D5" w:rsidRPr="00DC25E5" w:rsidRDefault="009075D5" w:rsidP="009075D5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25E5">
        <w:rPr>
          <w:rFonts w:ascii="Times New Roman" w:hAnsi="Times New Roman" w:cs="Times New Roman"/>
          <w:sz w:val="28"/>
          <w:szCs w:val="28"/>
        </w:rPr>
        <w:t xml:space="preserve">Налог на добычу полезных ископаемых  рассчитан на основании Справки основных показателей  социально-экономического развития для обоснования бюджета на 2022 год.   В расчетах поступлений учтены  ожидаемые объемы добычи полезных ископаемых, прогнозируемый уровень цен на них и ставки  </w:t>
      </w:r>
      <w:proofErr w:type="gramStart"/>
      <w:r w:rsidRPr="00DC25E5">
        <w:rPr>
          <w:rFonts w:ascii="Times New Roman" w:hAnsi="Times New Roman" w:cs="Times New Roman"/>
          <w:sz w:val="28"/>
          <w:szCs w:val="28"/>
        </w:rPr>
        <w:t>платежей</w:t>
      </w:r>
      <w:proofErr w:type="gramEnd"/>
      <w:r w:rsidRPr="00DC25E5">
        <w:rPr>
          <w:rFonts w:ascii="Times New Roman" w:hAnsi="Times New Roman" w:cs="Times New Roman"/>
          <w:sz w:val="28"/>
          <w:szCs w:val="28"/>
        </w:rPr>
        <w:t xml:space="preserve"> предусмотренные  главой 26 «Налог на добычу полезных ископаемых» части второй Налогового кодекса Российской Федерации.</w:t>
      </w:r>
    </w:p>
    <w:p w:rsidR="009075D5" w:rsidRPr="00DC25E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C25E5">
        <w:rPr>
          <w:rFonts w:ascii="Times New Roman" w:hAnsi="Times New Roman"/>
          <w:sz w:val="28"/>
          <w:szCs w:val="28"/>
        </w:rPr>
        <w:t xml:space="preserve">Объем добычи  золота 2022 год - 350 кг,  плательщик налога   «ООО Рудника </w:t>
      </w:r>
      <w:proofErr w:type="spellStart"/>
      <w:r w:rsidRPr="00DC25E5">
        <w:rPr>
          <w:rFonts w:ascii="Times New Roman" w:hAnsi="Times New Roman"/>
          <w:sz w:val="28"/>
          <w:szCs w:val="28"/>
        </w:rPr>
        <w:t>Дарасунский</w:t>
      </w:r>
      <w:proofErr w:type="spellEnd"/>
      <w:r w:rsidRPr="00DC25E5">
        <w:rPr>
          <w:rFonts w:ascii="Times New Roman" w:hAnsi="Times New Roman"/>
          <w:sz w:val="28"/>
          <w:szCs w:val="28"/>
        </w:rPr>
        <w:t xml:space="preserve">» по цене 4500,0 рублей за </w:t>
      </w:r>
      <w:smartTag w:uri="urn:schemas-microsoft-com:office:smarttags" w:element="metricconverter">
        <w:smartTagPr>
          <w:attr w:name="ProductID" w:val="1 грамм"/>
        </w:smartTagPr>
        <w:r w:rsidRPr="00DC25E5">
          <w:rPr>
            <w:rFonts w:ascii="Times New Roman" w:hAnsi="Times New Roman"/>
            <w:sz w:val="28"/>
            <w:szCs w:val="28"/>
          </w:rPr>
          <w:t>1 грамм</w:t>
        </w:r>
      </w:smartTag>
      <w:r w:rsidRPr="00DC25E5">
        <w:rPr>
          <w:rFonts w:ascii="Times New Roman" w:hAnsi="Times New Roman"/>
          <w:sz w:val="28"/>
          <w:szCs w:val="28"/>
        </w:rPr>
        <w:t xml:space="preserve"> металла, 2023 год </w:t>
      </w:r>
      <w:proofErr w:type="gramStart"/>
      <w:r w:rsidRPr="00DC25E5">
        <w:rPr>
          <w:rFonts w:ascii="Times New Roman" w:hAnsi="Times New Roman"/>
          <w:sz w:val="28"/>
          <w:szCs w:val="28"/>
        </w:rPr>
        <w:t>–о</w:t>
      </w:r>
      <w:proofErr w:type="gramEnd"/>
      <w:r w:rsidRPr="00DC25E5">
        <w:rPr>
          <w:rFonts w:ascii="Times New Roman" w:hAnsi="Times New Roman"/>
          <w:sz w:val="28"/>
          <w:szCs w:val="28"/>
        </w:rPr>
        <w:t>бъем добычи 400,0 кг. , по цене 4630,0 рублей за один грамм металла, 2024 год – объем добычи 500,0 кг, по цене 4720,0 рублей за один грамм металла.</w:t>
      </w:r>
    </w:p>
    <w:p w:rsidR="009075D5" w:rsidRDefault="009075D5" w:rsidP="009075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C25E5">
        <w:rPr>
          <w:rFonts w:ascii="Times New Roman" w:hAnsi="Times New Roman"/>
          <w:sz w:val="28"/>
          <w:szCs w:val="28"/>
        </w:rPr>
        <w:t xml:space="preserve">В соответствии со статьей 56 Бюджетного  кодекса Российской Федерации зачисление налога на добычу прочих полезных ископаемых (золото) в консолидированный бюджет края предусматривается по нормативу 60 процентов. Из общего объема поступлений в консолидированный бюджет  края,  45 процентов направляется  на формирование  доходов бюджета муниципального района, и что составляет  </w:t>
      </w:r>
      <w:r w:rsidRPr="00DC25E5">
        <w:rPr>
          <w:rFonts w:ascii="Times New Roman" w:hAnsi="Times New Roman"/>
          <w:sz w:val="28"/>
          <w:szCs w:val="28"/>
        </w:rPr>
        <w:lastRenderedPageBreak/>
        <w:t>27 процентов от  начисленного налога  - 2022 год предусмотрено в бюджет- 25515,0 тыс. рублей</w:t>
      </w:r>
      <w:proofErr w:type="gramStart"/>
      <w:r w:rsidRPr="00DC25E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C25E5">
        <w:rPr>
          <w:rFonts w:ascii="Times New Roman" w:hAnsi="Times New Roman"/>
          <w:sz w:val="28"/>
          <w:szCs w:val="28"/>
        </w:rPr>
        <w:t>2023 год – 30002,4 тыс. рублей, 2024 год – 37843,2,0 тыс. рублей.</w:t>
      </w:r>
    </w:p>
    <w:p w:rsidR="009075D5" w:rsidRPr="009075D5" w:rsidRDefault="009075D5" w:rsidP="009075D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75D5">
        <w:rPr>
          <w:rFonts w:ascii="Times New Roman" w:hAnsi="Times New Roman"/>
          <w:b/>
          <w:sz w:val="28"/>
          <w:szCs w:val="28"/>
        </w:rPr>
        <w:t>Неналоговые доходы</w:t>
      </w:r>
    </w:p>
    <w:p w:rsidR="009075D5" w:rsidRPr="00DC25E5" w:rsidRDefault="009335FA" w:rsidP="009335FA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</w:t>
      </w:r>
      <w:r w:rsidR="009075D5" w:rsidRPr="00DC25E5">
        <w:rPr>
          <w:rFonts w:ascii="Times New Roman" w:hAnsi="Times New Roman" w:cs="Times New Roman"/>
          <w:sz w:val="28"/>
          <w:szCs w:val="28"/>
        </w:rPr>
        <w:t>Общая сумма неналоговых доходов в бюджете муниципального района на 2022 год  прогнозируется в объеме 4406,5 тыс. рублей. В составе неналоговых доходов прогнозируются следующие источники:</w:t>
      </w:r>
    </w:p>
    <w:p w:rsidR="009075D5" w:rsidRPr="00DC25E5" w:rsidRDefault="009075D5" w:rsidP="009075D5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E5">
        <w:rPr>
          <w:rFonts w:ascii="Times New Roman" w:hAnsi="Times New Roman" w:cs="Times New Roman"/>
          <w:sz w:val="28"/>
          <w:szCs w:val="28"/>
        </w:rPr>
        <w:t>-аренда земли в сельских  поселениях, производятся по нормативу 100% и составляет- 500,0 тыс. руб.;</w:t>
      </w:r>
    </w:p>
    <w:p w:rsidR="009075D5" w:rsidRPr="00DC25E5" w:rsidRDefault="009075D5" w:rsidP="009075D5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E5">
        <w:rPr>
          <w:rFonts w:ascii="Times New Roman" w:hAnsi="Times New Roman" w:cs="Times New Roman"/>
          <w:sz w:val="28"/>
          <w:szCs w:val="28"/>
        </w:rPr>
        <w:t xml:space="preserve">-аренда земли в городском поселении  производятся по нормативу </w:t>
      </w:r>
      <w:proofErr w:type="gramStart"/>
      <w:r w:rsidRPr="00DC25E5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Pr="00DC25E5">
        <w:rPr>
          <w:rFonts w:ascii="Times New Roman" w:hAnsi="Times New Roman" w:cs="Times New Roman"/>
          <w:sz w:val="28"/>
          <w:szCs w:val="28"/>
        </w:rPr>
        <w:t>% и составляет- 800,0 тыс. руб.;</w:t>
      </w:r>
    </w:p>
    <w:p w:rsidR="009075D5" w:rsidRPr="00DC25E5" w:rsidRDefault="009075D5" w:rsidP="009075D5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E5">
        <w:rPr>
          <w:rFonts w:ascii="Times New Roman" w:hAnsi="Times New Roman" w:cs="Times New Roman"/>
          <w:sz w:val="28"/>
          <w:szCs w:val="28"/>
        </w:rPr>
        <w:t>-доходы от сдачи в аренду имущества находящегося в оперативном управлении  муниципального района   по нормативу 100%– 500,0 тыс. руб.;</w:t>
      </w:r>
    </w:p>
    <w:p w:rsidR="009075D5" w:rsidRPr="00DC25E5" w:rsidRDefault="009075D5" w:rsidP="009075D5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E5">
        <w:rPr>
          <w:rFonts w:ascii="Times New Roman" w:hAnsi="Times New Roman" w:cs="Times New Roman"/>
          <w:sz w:val="28"/>
          <w:szCs w:val="28"/>
        </w:rPr>
        <w:t>-платежи при пользовании природными ресурсами, отчисления производятся по нормативу 45% и составляют на 2022 год -280,0 тыс. рублей, 2023 года –300,0 тыс. рублей</w:t>
      </w:r>
      <w:proofErr w:type="gramStart"/>
      <w:r w:rsidRPr="00DC25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25E5">
        <w:rPr>
          <w:rFonts w:ascii="Times New Roman" w:hAnsi="Times New Roman" w:cs="Times New Roman"/>
          <w:sz w:val="28"/>
          <w:szCs w:val="28"/>
        </w:rPr>
        <w:t xml:space="preserve"> и на 2024 год -350,0 тыс. рублей.</w:t>
      </w:r>
    </w:p>
    <w:p w:rsidR="009075D5" w:rsidRPr="00DC25E5" w:rsidRDefault="009075D5" w:rsidP="009075D5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E5">
        <w:rPr>
          <w:rFonts w:ascii="Times New Roman" w:hAnsi="Times New Roman" w:cs="Times New Roman"/>
          <w:sz w:val="28"/>
          <w:szCs w:val="28"/>
        </w:rPr>
        <w:t>Доходы от оказания платных услуг на 2022 год – 221,0 тыс. рублей, 2023 год -246,0 тыс. рублей, 2024 год -265,0 тыс. рублей.</w:t>
      </w:r>
    </w:p>
    <w:p w:rsidR="009075D5" w:rsidRPr="00DC25E5" w:rsidRDefault="009075D5" w:rsidP="009075D5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E5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 запланированы на 2022 год -100,0 тыс. рублей, 2023 год-110,0 тыс. рублей, 2024 год -120,0 тыс. рублей.</w:t>
      </w:r>
    </w:p>
    <w:p w:rsidR="009075D5" w:rsidRPr="00DC25E5" w:rsidRDefault="009075D5" w:rsidP="009075D5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E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Федеральным  законом от 15.04.2019 года № 62-ФЗ внесены поправки в Бюджетный кодекс РФ, установлено правило зачисления в бюджеты доходов от уплаты штрафов, согласно </w:t>
      </w:r>
      <w:proofErr w:type="gramStart"/>
      <w:r w:rsidRPr="00DC25E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которому</w:t>
      </w:r>
      <w:proofErr w:type="gramEnd"/>
      <w:r w:rsidRPr="00DC25E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: уплаченные суммы за административные правонарушения должны поступать в полном объеме в тот бюджет, из которого осуществляется финансовое обеспечение деятельности органа, налагающего штраф; в части правонарушений в финансовой сфере - в тот бюджет, из которого были предоставлены бюджетные средства; суммы административных штрафов, установленные федеральными законами, будут зачисляться в федеральный бюджет, законами субъектов РФ - в региональный бюджет, муниципальными правовыми актами - в муниципальные бюджеты.</w:t>
      </w:r>
      <w:r w:rsidRPr="00DC25E5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 xml:space="preserve">     На основании данного закона в  бюджет  муниципального района планируется поступление штрафов, санкций </w:t>
      </w:r>
      <w:r w:rsidRPr="00DC25E5">
        <w:rPr>
          <w:rFonts w:ascii="Times New Roman" w:hAnsi="Times New Roman" w:cs="Times New Roman"/>
          <w:sz w:val="28"/>
          <w:szCs w:val="28"/>
        </w:rPr>
        <w:t xml:space="preserve"> возмещение ущерба на 2022- 1400 тыс. рублей,  2023 год -1500,0 тыс. рублей, на 2024 год – 1500,0 тыс. рублей. </w:t>
      </w:r>
    </w:p>
    <w:p w:rsidR="009075D5" w:rsidRPr="00DC25E5" w:rsidRDefault="009075D5" w:rsidP="009075D5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E5">
        <w:rPr>
          <w:rFonts w:ascii="Times New Roman" w:hAnsi="Times New Roman" w:cs="Times New Roman"/>
          <w:sz w:val="28"/>
          <w:szCs w:val="28"/>
        </w:rPr>
        <w:t>Прочие неналоговые доходы  на 2022 год планируются в сумме 1100,0 тыс. рублей, 2023 год – 1150,0 тыс. рублей, 2024 год -1190,0 тыс. рублей.</w:t>
      </w:r>
    </w:p>
    <w:p w:rsidR="009075D5" w:rsidRPr="009335FA" w:rsidRDefault="009075D5" w:rsidP="009335FA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E5">
        <w:rPr>
          <w:rFonts w:ascii="Times New Roman" w:hAnsi="Times New Roman" w:cs="Times New Roman"/>
          <w:sz w:val="28"/>
          <w:szCs w:val="28"/>
        </w:rPr>
        <w:lastRenderedPageBreak/>
        <w:t>Общая сумма неналоговых доходов на 2022 г.- прогнозируется в сумме 4406,5 тыс. рублей, 2023 год – 4667,6 тыс. рублей, 2024 год – 4832,7 тыс. рублей.</w:t>
      </w:r>
      <w:r w:rsidR="00933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5E5">
        <w:rPr>
          <w:rFonts w:ascii="Times New Roman" w:hAnsi="Times New Roman"/>
          <w:sz w:val="28"/>
          <w:szCs w:val="28"/>
        </w:rPr>
        <w:t xml:space="preserve">При стабильной работе предприятий всех отраслей экономики, своевременных расчетах налогоплательщиков с бюджетом  района, план по доходам реален к выполнению. </w:t>
      </w:r>
    </w:p>
    <w:p w:rsidR="009075D5" w:rsidRPr="009335FA" w:rsidRDefault="009075D5" w:rsidP="00907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F093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F093D">
        <w:rPr>
          <w:rFonts w:ascii="Times New Roman" w:hAnsi="Times New Roman"/>
          <w:b/>
          <w:sz w:val="28"/>
          <w:szCs w:val="28"/>
        </w:rPr>
        <w:t xml:space="preserve"> А С Х О Д Ы</w:t>
      </w:r>
      <w:r w:rsidR="009335FA">
        <w:rPr>
          <w:rFonts w:ascii="Times New Roman" w:hAnsi="Times New Roman"/>
          <w:b/>
          <w:sz w:val="28"/>
          <w:szCs w:val="28"/>
        </w:rPr>
        <w:t xml:space="preserve">: </w:t>
      </w:r>
      <w:r w:rsidRPr="00FF093D">
        <w:rPr>
          <w:rFonts w:ascii="Times New Roman" w:hAnsi="Times New Roman"/>
          <w:sz w:val="28"/>
          <w:szCs w:val="28"/>
        </w:rPr>
        <w:t>В расходной части бюджета отражаются средства в соответствии с расходными обязательствами муниципального района  по принятым нормативным правовым актам, договорам и соглашениям. Исходной базой для формирования бюджета действующих обязательств является  бюджет на текущий год.</w:t>
      </w:r>
    </w:p>
    <w:p w:rsidR="009075D5" w:rsidRPr="00095B0D" w:rsidRDefault="009075D5" w:rsidP="00907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93D">
        <w:rPr>
          <w:rFonts w:ascii="Times New Roman" w:hAnsi="Times New Roman"/>
          <w:sz w:val="28"/>
          <w:szCs w:val="28"/>
        </w:rPr>
        <w:t xml:space="preserve">               </w:t>
      </w:r>
      <w:r w:rsidRPr="00095B0D">
        <w:rPr>
          <w:rFonts w:ascii="Times New Roman" w:hAnsi="Times New Roman"/>
          <w:sz w:val="28"/>
          <w:szCs w:val="28"/>
        </w:rPr>
        <w:t>В структуре расходов  бюджета муниципального района  на 2022 год  и плановый период наибольший удельный вес занимают расходы</w:t>
      </w:r>
      <w:proofErr w:type="gramStart"/>
      <w:r w:rsidRPr="00095B0D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075D5" w:rsidRPr="00095B0D" w:rsidRDefault="009075D5" w:rsidP="00907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B0D">
        <w:rPr>
          <w:rFonts w:ascii="Times New Roman" w:hAnsi="Times New Roman"/>
          <w:sz w:val="28"/>
          <w:szCs w:val="28"/>
        </w:rPr>
        <w:t>- образование 64,8  процента или  421 781,7  тыс. рублей;</w:t>
      </w:r>
    </w:p>
    <w:p w:rsidR="009075D5" w:rsidRPr="00095B0D" w:rsidRDefault="009075D5" w:rsidP="00907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B0D">
        <w:rPr>
          <w:rFonts w:ascii="Times New Roman" w:hAnsi="Times New Roman"/>
          <w:sz w:val="28"/>
          <w:szCs w:val="28"/>
        </w:rPr>
        <w:t>-общегосударственные вопросы  11,2  процента или  73 003,0 тыс. рублей;</w:t>
      </w:r>
    </w:p>
    <w:p w:rsidR="009075D5" w:rsidRPr="00095B0D" w:rsidRDefault="009075D5" w:rsidP="00907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B0D">
        <w:rPr>
          <w:rFonts w:ascii="Times New Roman" w:hAnsi="Times New Roman"/>
          <w:sz w:val="28"/>
          <w:szCs w:val="28"/>
        </w:rPr>
        <w:t>-межбюджетные трансферты 7,3  процента или   47 619,8  тыс. рублей;</w:t>
      </w:r>
    </w:p>
    <w:p w:rsidR="009075D5" w:rsidRPr="00095B0D" w:rsidRDefault="009075D5" w:rsidP="00907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B0D">
        <w:rPr>
          <w:rFonts w:ascii="Times New Roman" w:hAnsi="Times New Roman"/>
          <w:sz w:val="28"/>
          <w:szCs w:val="28"/>
        </w:rPr>
        <w:t>-культура 9,3 процента или  60 706,9  тыс. рублей;</w:t>
      </w:r>
    </w:p>
    <w:p w:rsidR="009075D5" w:rsidRPr="00095B0D" w:rsidRDefault="009075D5" w:rsidP="00907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B0D">
        <w:rPr>
          <w:rFonts w:ascii="Times New Roman" w:hAnsi="Times New Roman"/>
          <w:sz w:val="28"/>
          <w:szCs w:val="28"/>
        </w:rPr>
        <w:t>-национальная  экономика 4,2  процента или  27 178,0  тыс. рублей;</w:t>
      </w:r>
    </w:p>
    <w:p w:rsidR="009075D5" w:rsidRPr="00095B0D" w:rsidRDefault="009075D5" w:rsidP="00907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B0D">
        <w:rPr>
          <w:rFonts w:ascii="Times New Roman" w:hAnsi="Times New Roman"/>
          <w:sz w:val="28"/>
          <w:szCs w:val="28"/>
        </w:rPr>
        <w:t>-социальная политика-  1,6 процента или   10 222,4  тыс. рублей;</w:t>
      </w:r>
    </w:p>
    <w:p w:rsidR="009075D5" w:rsidRPr="00095B0D" w:rsidRDefault="009075D5" w:rsidP="00907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B0D">
        <w:rPr>
          <w:rFonts w:ascii="Times New Roman" w:hAnsi="Times New Roman"/>
          <w:sz w:val="28"/>
          <w:szCs w:val="28"/>
        </w:rPr>
        <w:t>-жилищно-коммунальное хозяйство 0,7  процент или  4 285,8  тыс. рублей.</w:t>
      </w:r>
    </w:p>
    <w:p w:rsidR="009075D5" w:rsidRPr="00095B0D" w:rsidRDefault="009075D5" w:rsidP="00907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B0D">
        <w:rPr>
          <w:rFonts w:ascii="Times New Roman" w:hAnsi="Times New Roman"/>
          <w:sz w:val="28"/>
          <w:szCs w:val="28"/>
        </w:rPr>
        <w:t xml:space="preserve">-национальная безопасность и правоохранительная деятельность – 0,6 процента или  3 643,7  тыс. рублей; </w:t>
      </w:r>
    </w:p>
    <w:p w:rsidR="009075D5" w:rsidRPr="00095B0D" w:rsidRDefault="009075D5" w:rsidP="00907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B0D">
        <w:rPr>
          <w:rFonts w:ascii="Times New Roman" w:hAnsi="Times New Roman"/>
          <w:sz w:val="28"/>
          <w:szCs w:val="28"/>
        </w:rPr>
        <w:t>-физическая культура 0,3 процента или  2 000,0  тыс. рублей;</w:t>
      </w:r>
    </w:p>
    <w:p w:rsidR="009075D5" w:rsidRPr="00095B0D" w:rsidRDefault="009075D5" w:rsidP="00907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B0D">
        <w:rPr>
          <w:rFonts w:ascii="Times New Roman" w:hAnsi="Times New Roman"/>
          <w:sz w:val="28"/>
          <w:szCs w:val="28"/>
        </w:rPr>
        <w:t>- обслуживание государственного и муниципального долга 0,003 процента или 21,8 тыс. рублей.</w:t>
      </w:r>
    </w:p>
    <w:p w:rsidR="009075D5" w:rsidRPr="00095B0D" w:rsidRDefault="009075D5" w:rsidP="00907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B0D">
        <w:rPr>
          <w:rFonts w:ascii="Times New Roman" w:hAnsi="Times New Roman"/>
          <w:sz w:val="28"/>
          <w:szCs w:val="28"/>
        </w:rPr>
        <w:t xml:space="preserve">              Расходы бюджета муниципального района  на 2022 год  планируется предусмотреть в объеме  </w:t>
      </w:r>
      <w:r w:rsidRPr="00095B0D">
        <w:rPr>
          <w:rFonts w:ascii="Times New Roman CYR" w:hAnsi="Times New Roman CYR" w:cs="Times New Roman CYR"/>
          <w:sz w:val="28"/>
          <w:szCs w:val="28"/>
        </w:rPr>
        <w:t xml:space="preserve">650 463,1 </w:t>
      </w:r>
      <w:r w:rsidRPr="00095B0D">
        <w:rPr>
          <w:rFonts w:ascii="Times New Roman" w:hAnsi="Times New Roman"/>
          <w:sz w:val="28"/>
          <w:szCs w:val="28"/>
        </w:rPr>
        <w:t xml:space="preserve"> тыс. рублей, что на 132 693  тыс. рублей  выше уровня первоначально утвержденного бюджета на 2021 год (515 770,0 тыс</w:t>
      </w:r>
      <w:proofErr w:type="gramStart"/>
      <w:r w:rsidRPr="00095B0D">
        <w:rPr>
          <w:rFonts w:ascii="Times New Roman" w:hAnsi="Times New Roman"/>
          <w:sz w:val="28"/>
          <w:szCs w:val="28"/>
        </w:rPr>
        <w:t>.р</w:t>
      </w:r>
      <w:proofErr w:type="gramEnd"/>
      <w:r w:rsidRPr="00095B0D">
        <w:rPr>
          <w:rFonts w:ascii="Times New Roman" w:hAnsi="Times New Roman"/>
          <w:sz w:val="28"/>
          <w:szCs w:val="28"/>
        </w:rPr>
        <w:t xml:space="preserve">ублей).             </w:t>
      </w:r>
    </w:p>
    <w:p w:rsidR="009075D5" w:rsidRPr="00095B0D" w:rsidRDefault="009075D5" w:rsidP="00907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B0D">
        <w:rPr>
          <w:rFonts w:ascii="Times New Roman" w:hAnsi="Times New Roman"/>
          <w:sz w:val="28"/>
          <w:szCs w:val="28"/>
        </w:rPr>
        <w:t>В проекте бюджета на 2022 год предусматриваются бюджетные ассигнования на реализацию   18   муниципальных программ на общую сумму расходов  26 132,6 тыс. рублей.  Доля муниципальных программ в общем объеме расходов проекта бюджета составляет в 2022году  4,0 %.</w:t>
      </w:r>
    </w:p>
    <w:p w:rsidR="009075D5" w:rsidRPr="00095B0D" w:rsidRDefault="009075D5" w:rsidP="00907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B0D">
        <w:rPr>
          <w:rFonts w:ascii="Times New Roman" w:hAnsi="Times New Roman"/>
          <w:sz w:val="28"/>
          <w:szCs w:val="28"/>
        </w:rPr>
        <w:t xml:space="preserve">       В проекте бюджета на 2022 год  фонд оплаты труда предусматривается на, расходы на коммунальные услуги и котельно-печное топливо на 12 месяцев.</w:t>
      </w:r>
    </w:p>
    <w:p w:rsidR="009075D5" w:rsidRPr="00095B0D" w:rsidRDefault="009075D5" w:rsidP="00907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B0D">
        <w:rPr>
          <w:rFonts w:ascii="Times New Roman" w:hAnsi="Times New Roman"/>
          <w:sz w:val="28"/>
          <w:szCs w:val="28"/>
        </w:rPr>
        <w:t xml:space="preserve">Расходы бюджета муниципального района  на 2023 год  планируется предусмотреть в объеме </w:t>
      </w:r>
      <w:r w:rsidRPr="00095B0D">
        <w:rPr>
          <w:sz w:val="28"/>
          <w:szCs w:val="28"/>
        </w:rPr>
        <w:t>577 225,4</w:t>
      </w:r>
      <w:r w:rsidRPr="00095B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95B0D">
        <w:rPr>
          <w:rFonts w:ascii="Times New Roman" w:hAnsi="Times New Roman"/>
          <w:sz w:val="28"/>
          <w:szCs w:val="28"/>
        </w:rPr>
        <w:t xml:space="preserve">  тыс. рублей, что на 73 237,7 тыс. рублей  ниже уровня 2022  года.             </w:t>
      </w:r>
    </w:p>
    <w:p w:rsidR="009075D5" w:rsidRDefault="009075D5" w:rsidP="00907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B0D">
        <w:rPr>
          <w:rFonts w:ascii="Times New Roman" w:hAnsi="Times New Roman"/>
          <w:sz w:val="28"/>
          <w:szCs w:val="28"/>
        </w:rPr>
        <w:t xml:space="preserve">Расходы бюджета муниципального района  на 2024 год  планируется предусмотреть в объеме  </w:t>
      </w:r>
      <w:r>
        <w:rPr>
          <w:rFonts w:ascii="Times New Roman CYR" w:hAnsi="Times New Roman CYR" w:cs="Times New Roman CYR"/>
          <w:sz w:val="28"/>
          <w:szCs w:val="28"/>
        </w:rPr>
        <w:t>573 803,1</w:t>
      </w:r>
      <w:r w:rsidRPr="00095B0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что на 3 422,3</w:t>
      </w:r>
      <w:r w:rsidRPr="00095B0D">
        <w:rPr>
          <w:rFonts w:ascii="Times New Roman" w:hAnsi="Times New Roman"/>
          <w:sz w:val="28"/>
          <w:szCs w:val="28"/>
        </w:rPr>
        <w:t xml:space="preserve"> тыс. рублей выше  уровня 2024  года.</w:t>
      </w:r>
      <w:r w:rsidRPr="00FF093D">
        <w:rPr>
          <w:rFonts w:ascii="Times New Roman" w:hAnsi="Times New Roman"/>
          <w:sz w:val="28"/>
          <w:szCs w:val="28"/>
        </w:rPr>
        <w:t xml:space="preserve">   </w:t>
      </w:r>
    </w:p>
    <w:p w:rsidR="009075D5" w:rsidRDefault="009075D5" w:rsidP="009075D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35FA" w:rsidRDefault="009335FA" w:rsidP="009075D5">
      <w:pPr>
        <w:spacing w:before="182" w:after="182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75D5" w:rsidRDefault="009075D5" w:rsidP="009075D5">
      <w:pPr>
        <w:spacing w:before="182" w:after="182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РЕКОМЕНДАЦИИ</w:t>
      </w:r>
    </w:p>
    <w:p w:rsidR="008A3944" w:rsidRPr="001602CC" w:rsidRDefault="008A3944" w:rsidP="008A3944">
      <w:pPr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9075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итогам проведения 30.11.2021 года публичных слушаний по проекту решения </w:t>
      </w:r>
      <w:r w:rsidRPr="001602CC">
        <w:rPr>
          <w:rFonts w:ascii="Times New Roman" w:hAnsi="Times New Roman"/>
          <w:b/>
          <w:bCs/>
          <w:sz w:val="28"/>
          <w:szCs w:val="28"/>
        </w:rPr>
        <w:t>Совета муниципального района «</w:t>
      </w:r>
      <w:proofErr w:type="spellStart"/>
      <w:r w:rsidRPr="001602CC">
        <w:rPr>
          <w:rFonts w:ascii="Times New Roman" w:hAnsi="Times New Roman"/>
          <w:b/>
          <w:bCs/>
          <w:sz w:val="28"/>
          <w:szCs w:val="28"/>
        </w:rPr>
        <w:t>Тунгокоченский</w:t>
      </w:r>
      <w:proofErr w:type="spellEnd"/>
      <w:r w:rsidRPr="001602CC">
        <w:rPr>
          <w:rFonts w:ascii="Times New Roman" w:hAnsi="Times New Roman"/>
          <w:b/>
          <w:bCs/>
          <w:sz w:val="28"/>
          <w:szCs w:val="28"/>
        </w:rPr>
        <w:t xml:space="preserve"> район»</w:t>
      </w:r>
      <w:r w:rsidRPr="001602CC">
        <w:rPr>
          <w:rFonts w:ascii="Times New Roman" w:hAnsi="Times New Roman"/>
          <w:b/>
          <w:sz w:val="28"/>
          <w:szCs w:val="28"/>
        </w:rPr>
        <w:t xml:space="preserve"> «Об утверждении бюджета  муниципальн</w:t>
      </w:r>
      <w:r>
        <w:rPr>
          <w:rFonts w:ascii="Times New Roman" w:hAnsi="Times New Roman"/>
          <w:b/>
          <w:sz w:val="28"/>
          <w:szCs w:val="28"/>
        </w:rPr>
        <w:t>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Тунгокоченский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  <w:r w:rsidRPr="001602CC">
        <w:rPr>
          <w:rFonts w:ascii="Times New Roman" w:hAnsi="Times New Roman"/>
          <w:b/>
          <w:sz w:val="28"/>
          <w:szCs w:val="28"/>
        </w:rPr>
        <w:t xml:space="preserve"> 2022 год и плановый период 2023-2024 годов»  </w:t>
      </w:r>
    </w:p>
    <w:p w:rsidR="009075D5" w:rsidRDefault="009075D5" w:rsidP="008A3944">
      <w:pPr>
        <w:spacing w:before="182" w:after="182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Участники публичных слушаний рекомендуют: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  Рассмотреть проект об исполнении бюджета на Совете муниципального района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Тунгокоченский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район».</w:t>
      </w:r>
    </w:p>
    <w:p w:rsidR="009075D5" w:rsidRDefault="009075D5" w:rsidP="009075D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75D5" w:rsidRDefault="009075D5" w:rsidP="009075D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75D5" w:rsidRDefault="009075D5" w:rsidP="009075D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75D5" w:rsidRDefault="009075D5" w:rsidP="009075D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Председательствующий на                                                                                                           </w:t>
      </w:r>
      <w:r w:rsidR="008A3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публичных слушаниях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8A3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глава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9075D5" w:rsidRDefault="009075D5" w:rsidP="009075D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Тунгокоченский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район»                                              </w:t>
      </w:r>
      <w:r w:rsidR="008A3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С.В.Захарченко</w:t>
      </w:r>
    </w:p>
    <w:p w:rsidR="009075D5" w:rsidRDefault="009075D5" w:rsidP="009075D5"/>
    <w:p w:rsidR="00E804F5" w:rsidRDefault="00E804F5"/>
    <w:sectPr w:rsidR="00E804F5" w:rsidSect="00E8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5A99"/>
    <w:multiLevelType w:val="hybridMultilevel"/>
    <w:tmpl w:val="64C440DC"/>
    <w:lvl w:ilvl="0" w:tplc="81ECB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868EF"/>
    <w:multiLevelType w:val="hybridMultilevel"/>
    <w:tmpl w:val="AD1C836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5D5"/>
    <w:rsid w:val="005B1779"/>
    <w:rsid w:val="006B5BDD"/>
    <w:rsid w:val="0086013F"/>
    <w:rsid w:val="008A3944"/>
    <w:rsid w:val="009075D5"/>
    <w:rsid w:val="0091459B"/>
    <w:rsid w:val="009335FA"/>
    <w:rsid w:val="009C3FD9"/>
    <w:rsid w:val="00D73740"/>
    <w:rsid w:val="00DE5EE5"/>
    <w:rsid w:val="00E804F5"/>
    <w:rsid w:val="00FD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D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5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5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75D5"/>
    <w:rPr>
      <w:color w:val="0000FF"/>
      <w:u w:val="single"/>
    </w:rPr>
  </w:style>
  <w:style w:type="character" w:styleId="a4">
    <w:name w:val="Strong"/>
    <w:basedOn w:val="a0"/>
    <w:qFormat/>
    <w:rsid w:val="009075D5"/>
    <w:rPr>
      <w:rFonts w:ascii="Verdana" w:hAnsi="Verdana" w:hint="default"/>
      <w:b/>
      <w:bCs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07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75D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Body Text"/>
    <w:basedOn w:val="a"/>
    <w:link w:val="a6"/>
    <w:rsid w:val="009075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075D5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075D5"/>
    <w:rPr>
      <w:rFonts w:eastAsiaTheme="minorEastAsia"/>
      <w:lang w:eastAsia="ru-RU"/>
    </w:rPr>
  </w:style>
  <w:style w:type="paragraph" w:styleId="a7">
    <w:name w:val="Body Text Indent"/>
    <w:basedOn w:val="a"/>
    <w:link w:val="a8"/>
    <w:uiPriority w:val="99"/>
    <w:unhideWhenUsed/>
    <w:rsid w:val="009075D5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075D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KhaninaAG</dc:creator>
  <cp:lastModifiedBy>KhaninaAG</cp:lastModifiedBy>
  <cp:revision>4</cp:revision>
  <cp:lastPrinted>2021-11-30T05:25:00Z</cp:lastPrinted>
  <dcterms:created xsi:type="dcterms:W3CDTF">2021-11-30T03:20:00Z</dcterms:created>
  <dcterms:modified xsi:type="dcterms:W3CDTF">2021-11-30T05:27:00Z</dcterms:modified>
</cp:coreProperties>
</file>