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11" w:rsidRDefault="005D6422" w:rsidP="000D5211">
      <w:pPr>
        <w:jc w:val="center"/>
        <w:rPr>
          <w:color w:val="595959"/>
        </w:rPr>
      </w:pPr>
      <w:bookmarkStart w:id="0" w:name="Par45"/>
      <w:bookmarkEnd w:id="0"/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A6E2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  <w:r w:rsidR="00380727">
        <w:rPr>
          <w:b/>
          <w:sz w:val="44"/>
          <w:szCs w:val="44"/>
        </w:rPr>
        <w:t xml:space="preserve"> 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1577E8" w:rsidRPr="001577E8">
        <w:rPr>
          <w:b/>
          <w:sz w:val="44"/>
          <w:szCs w:val="44"/>
        </w:rPr>
        <w:t>ВЕРХ-УСУГЛИНСКОЕ</w:t>
      </w:r>
      <w:r>
        <w:rPr>
          <w:b/>
          <w:sz w:val="44"/>
          <w:szCs w:val="44"/>
        </w:rPr>
        <w:t>»</w:t>
      </w:r>
    </w:p>
    <w:p w:rsidR="00466053" w:rsidRDefault="00344B45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Тунгокоченского</w:t>
      </w:r>
      <w:r w:rsidR="000731CD">
        <w:rPr>
          <w:sz w:val="44"/>
          <w:szCs w:val="52"/>
        </w:rPr>
        <w:t xml:space="preserve"> района</w:t>
      </w:r>
      <w:r w:rsidR="000D5211" w:rsidRPr="00466053">
        <w:rPr>
          <w:sz w:val="44"/>
          <w:szCs w:val="52"/>
        </w:rPr>
        <w:t xml:space="preserve"> 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114594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4C45D9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0D5211" w:rsidRPr="00E64187" w:rsidRDefault="000D5211" w:rsidP="003A521F">
            <w:pPr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5E219E">
            <w:pPr>
              <w:pStyle w:val="ac"/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5E219E">
              <w:rPr>
                <w:sz w:val="22"/>
              </w:rPr>
              <w:t xml:space="preserve"> </w:t>
            </w:r>
            <w:r w:rsidR="003F3E50">
              <w:rPr>
                <w:sz w:val="22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обслуживания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показатели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D011CF">
              <w:rPr>
                <w:spacing w:val="-6"/>
                <w:sz w:val="22"/>
                <w:lang w:eastAsia="en-US"/>
              </w:rPr>
              <w:t>Верх-Усуглинское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59673F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  <w:bookmarkStart w:id="1" w:name="_GoBack"/>
            <w:bookmarkEnd w:id="1"/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D011CF">
        <w:rPr>
          <w:spacing w:val="-6"/>
          <w:lang w:eastAsia="en-US"/>
        </w:rPr>
        <w:t>Верх-Усуглинское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62587" w:rsidRPr="00E62587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Забайкальского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B74C32">
        <w:t xml:space="preserve">, на основании договора </w:t>
      </w:r>
      <w:r w:rsidR="008A6FDB" w:rsidRPr="008A6FDB">
        <w:t>№ 27-17/02-</w:t>
      </w:r>
      <w:r w:rsidR="00D011CF">
        <w:t>05</w:t>
      </w:r>
      <w:r w:rsidR="005E219E">
        <w:t xml:space="preserve"> </w:t>
      </w:r>
      <w:r w:rsidR="00265B2A">
        <w:t xml:space="preserve">от </w:t>
      </w:r>
      <w:r w:rsidR="008A6FDB">
        <w:t>1</w:t>
      </w:r>
      <w:r w:rsidR="00D011CF">
        <w:t>3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5E103F" w:rsidRPr="00DC0B6F">
        <w:t xml:space="preserve"> </w:t>
      </w:r>
      <w:r w:rsidR="003F3E50">
        <w:t>Забайкальского края</w:t>
      </w:r>
      <w:r w:rsidR="000954CA" w:rsidRPr="00DC0B6F"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 xml:space="preserve">, обеспечивающего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обезвреживания твердых коммунальных отходов</w:t>
      </w:r>
      <w:r w:rsidR="00265B2A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поселения.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6067CD" w:rsidRPr="006067CD">
        <w:t>Законом Забайкальского края от 29.12.2008 г. № 113-ЗЗК «О градостроительной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CD3551">
        <w:t xml:space="preserve"> </w:t>
      </w:r>
      <w:r w:rsidR="003F3E50">
        <w:t>Забайкальского края</w:t>
      </w:r>
      <w:r w:rsidR="00CD3551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</w:t>
      </w:r>
      <w:r>
        <w:lastRenderedPageBreak/>
        <w:t xml:space="preserve">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B21B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A266AF">
        <w:rPr>
          <w:rFonts w:eastAsia="Calibri"/>
          <w:b/>
          <w:sz w:val="28"/>
          <w:szCs w:val="28"/>
          <w:lang w:eastAsia="en-US"/>
        </w:rPr>
        <w:t>«</w:t>
      </w:r>
      <w:r w:rsidR="00D011CF">
        <w:rPr>
          <w:rFonts w:eastAsia="Calibri"/>
          <w:b/>
          <w:sz w:val="28"/>
          <w:szCs w:val="28"/>
          <w:lang w:eastAsia="en-US"/>
        </w:rPr>
        <w:t>Верх-Усуглинское</w:t>
      </w:r>
      <w:r w:rsidR="00A266AF">
        <w:rPr>
          <w:rFonts w:eastAsia="Calibri"/>
          <w:b/>
          <w:sz w:val="28"/>
          <w:szCs w:val="28"/>
          <w:lang w:eastAsia="en-US"/>
        </w:rPr>
        <w:t>»</w:t>
      </w:r>
      <w:r w:rsidR="008D2C79"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муниципального района «Тунгокоченский район»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D011CF">
        <w:rPr>
          <w:spacing w:val="-6"/>
          <w:lang w:eastAsia="en-US"/>
        </w:rPr>
        <w:t>Верх-Усуглинское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объектами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</w:t>
            </w:r>
            <w:r w:rsidR="00D011CF">
              <w:rPr>
                <w:rFonts w:eastAsia="Calibri"/>
                <w:b/>
                <w:szCs w:val="28"/>
                <w:lang w:eastAsia="en-US"/>
              </w:rPr>
              <w:t>Верх-Усуглинское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>
        <w:rPr>
          <w:rFonts w:eastAsia="TimesNewRomanPSMT"/>
        </w:rPr>
        <w:t>, а также</w:t>
      </w:r>
      <w:r w:rsidR="004F607F">
        <w:rPr>
          <w:rFonts w:eastAsia="TimesNewRomanPSMT"/>
        </w:rPr>
        <w:t xml:space="preserve"> с учетом </w:t>
      </w:r>
      <w:r w:rsidR="003E6FE5" w:rsidRPr="003E6FE5">
        <w:rPr>
          <w:rFonts w:eastAsia="TimesNewRomanPSMT"/>
        </w:rPr>
        <w:t>муниципальн</w:t>
      </w:r>
      <w:r w:rsidR="003E6FE5">
        <w:rPr>
          <w:rFonts w:eastAsia="TimesNewRomanPSMT"/>
        </w:rPr>
        <w:t>ой</w:t>
      </w:r>
      <w:r w:rsidR="003E6FE5" w:rsidRPr="003E6FE5">
        <w:rPr>
          <w:rFonts w:eastAsia="TimesNewRomanPSMT"/>
        </w:rPr>
        <w:t xml:space="preserve"> программ</w:t>
      </w:r>
      <w:r w:rsidR="003E6FE5">
        <w:rPr>
          <w:rFonts w:eastAsia="TimesNewRomanPSMT"/>
        </w:rPr>
        <w:t>ы</w:t>
      </w:r>
      <w:r w:rsidR="003E6FE5" w:rsidRPr="003E6FE5">
        <w:rPr>
          <w:rFonts w:eastAsia="TimesNewRomanPSMT"/>
        </w:rPr>
        <w:t xml:space="preserve"> </w:t>
      </w:r>
      <w:r w:rsidR="00040020" w:rsidRPr="00040020">
        <w:rPr>
          <w:rFonts w:eastAsia="TimesNewRomanPSMT"/>
        </w:rPr>
        <w:t>«Комплексного развития объектов коммунальной инфраструктуры населенных пунктов муниципального рай</w:t>
      </w:r>
      <w:r w:rsidR="009453A7">
        <w:rPr>
          <w:rFonts w:eastAsia="TimesNewRomanPSMT"/>
        </w:rPr>
        <w:t xml:space="preserve">она </w:t>
      </w:r>
      <w:r w:rsidR="00040020">
        <w:rPr>
          <w:rFonts w:eastAsia="TimesNewRomanPSMT"/>
        </w:rPr>
        <w:t xml:space="preserve">«Тунгокоченский район» </w:t>
      </w:r>
      <w:r w:rsidR="00040020" w:rsidRPr="00040020">
        <w:rPr>
          <w:rFonts w:eastAsia="TimesNewRomanPSMT"/>
        </w:rPr>
        <w:t>на 2016-2021 годы»</w:t>
      </w:r>
      <w:r w:rsidR="004F607F" w:rsidRPr="00783A25">
        <w:rPr>
          <w:rFonts w:eastAsia="TimesNewRomanPSMT"/>
        </w:rPr>
        <w:t xml:space="preserve">, </w:t>
      </w:r>
      <w:r w:rsidR="004F607F" w:rsidRPr="00E12E1D">
        <w:rPr>
          <w:rFonts w:eastAsia="TimesNewRomanPSMT"/>
        </w:rPr>
        <w:t xml:space="preserve">утвержденной </w:t>
      </w:r>
      <w:r w:rsidR="00E12E1D">
        <w:rPr>
          <w:rFonts w:eastAsia="TimesNewRomanPSMT"/>
        </w:rPr>
        <w:t xml:space="preserve">постановлением администрации муниципального района </w:t>
      </w:r>
      <w:r w:rsidR="00E12E1D" w:rsidRPr="00E12E1D">
        <w:rPr>
          <w:rFonts w:eastAsia="TimesNewRomanPSMT"/>
        </w:rPr>
        <w:t>«Тунгокоченский район»</w:t>
      </w:r>
      <w:r w:rsidR="004F607F" w:rsidRPr="00E12E1D">
        <w:rPr>
          <w:rFonts w:eastAsia="TimesNewRomanPSMT"/>
        </w:rPr>
        <w:t xml:space="preserve"> </w:t>
      </w:r>
      <w:r w:rsidR="00AC1C42" w:rsidRPr="00E12E1D">
        <w:rPr>
          <w:rFonts w:eastAsia="TimesNewRomanPSMT"/>
        </w:rPr>
        <w:t>от 1</w:t>
      </w:r>
      <w:r w:rsidR="00E12E1D">
        <w:rPr>
          <w:rFonts w:eastAsia="TimesNewRomanPSMT"/>
        </w:rPr>
        <w:t>1</w:t>
      </w:r>
      <w:r w:rsidR="00AC1C42" w:rsidRPr="00E12E1D">
        <w:rPr>
          <w:rFonts w:eastAsia="TimesNewRomanPSMT"/>
        </w:rPr>
        <w:t>.</w:t>
      </w:r>
      <w:r w:rsidR="00E12E1D">
        <w:rPr>
          <w:rFonts w:eastAsia="TimesNewRomanPSMT"/>
        </w:rPr>
        <w:t>11</w:t>
      </w:r>
      <w:r w:rsidR="00AC1C42" w:rsidRPr="00E12E1D">
        <w:rPr>
          <w:rFonts w:eastAsia="TimesNewRomanPSMT"/>
        </w:rPr>
        <w:t>.201</w:t>
      </w:r>
      <w:r w:rsidR="00E12E1D">
        <w:rPr>
          <w:rFonts w:eastAsia="TimesNewRomanPSMT"/>
        </w:rPr>
        <w:t>5</w:t>
      </w:r>
      <w:r w:rsidR="00AC1C42" w:rsidRPr="00E12E1D">
        <w:rPr>
          <w:rFonts w:eastAsia="TimesNewRomanPSMT"/>
        </w:rPr>
        <w:t xml:space="preserve">г. </w:t>
      </w:r>
      <w:r w:rsidR="00E12E1D">
        <w:rPr>
          <w:rFonts w:eastAsia="TimesNewRomanPSMT"/>
        </w:rPr>
        <w:t>№546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DA19B2">
        <w:rPr>
          <w:rFonts w:eastAsia="TimesNewRomanPSMT"/>
        </w:rPr>
        <w:t>4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 xml:space="preserve">Система электроснабжения населенных пунктов, </w:t>
            </w:r>
            <w:r>
              <w:rPr>
                <w:sz w:val="22"/>
                <w:szCs w:val="22"/>
              </w:rPr>
              <w:t>входящих в состав сельского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лектропотребление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кВт*ч/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 w:rsidRPr="00A95422">
              <w:rPr>
                <w:sz w:val="22"/>
                <w:szCs w:val="22"/>
              </w:rPr>
              <w:t>Электроэнергия, использование максимума электрической нагрузки</w:t>
            </w:r>
            <w:r>
              <w:rPr>
                <w:sz w:val="22"/>
                <w:szCs w:val="22"/>
              </w:rPr>
              <w:t xml:space="preserve">, </w:t>
            </w:r>
            <w:r w:rsidRPr="00A95422">
              <w:rPr>
                <w:sz w:val="22"/>
                <w:szCs w:val="22"/>
              </w:rPr>
              <w:t>ч/год</w:t>
            </w:r>
          </w:p>
          <w:p w:rsidR="00A95422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>–не оборудованные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производить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город</w:t>
      </w:r>
      <w:r w:rsidR="00E701EB">
        <w:rPr>
          <w:color w:val="000000" w:themeColor="text1"/>
        </w:rPr>
        <w:t>ских электрических сетей.</w:t>
      </w:r>
      <w:r w:rsidR="00E701EB" w:rsidRPr="00E701EB">
        <w:rPr>
          <w:color w:val="000000" w:themeColor="text1"/>
        </w:rPr>
        <w:t>" (</w:t>
      </w:r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Среднесуточное</w:t>
            </w:r>
            <w:r w:rsidR="007B25E0" w:rsidRPr="002542B5">
              <w:rPr>
                <w:sz w:val="22"/>
                <w:szCs w:val="22"/>
              </w:rPr>
              <w:t xml:space="preserve"> водопотребления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EE5F26" w:rsidRDefault="00EE5F26" w:rsidP="00EE5F2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EE5F26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="000E54F8" w:rsidRPr="00EE5F26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Pr="00EE5F26" w:rsidRDefault="002542B5" w:rsidP="00EE5F2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DA19B2" w:rsidRPr="002542B5" w:rsidRDefault="00DA19B2" w:rsidP="00DA19B2">
      <w:pPr>
        <w:widowControl w:val="0"/>
        <w:autoSpaceDE w:val="0"/>
        <w:autoSpaceDN w:val="0"/>
        <w:jc w:val="right"/>
      </w:pPr>
      <w:r w:rsidRPr="002542B5">
        <w:t>Таблица 1.1.</w:t>
      </w:r>
      <w:r>
        <w:t>4</w:t>
      </w:r>
      <w:r w:rsidRPr="002542B5">
        <w:t xml:space="preserve">.  Расчетные показатели объектов, относящихся </w:t>
      </w:r>
    </w:p>
    <w:p w:rsidR="00DA19B2" w:rsidRDefault="00DA19B2" w:rsidP="00DA19B2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теплоснабжения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DA19B2" w:rsidRPr="00C40646" w:rsidTr="00004465">
        <w:trPr>
          <w:trHeight w:val="983"/>
          <w:tblHeader/>
        </w:trPr>
        <w:tc>
          <w:tcPr>
            <w:tcW w:w="1428" w:type="pct"/>
            <w:vAlign w:val="center"/>
          </w:tcPr>
          <w:p w:rsidR="00DA19B2" w:rsidRPr="00C40646" w:rsidRDefault="00DA19B2" w:rsidP="00004465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DA19B2" w:rsidRPr="00C40646" w:rsidRDefault="00DA19B2" w:rsidP="00004465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DA19B2" w:rsidRPr="00C40646" w:rsidRDefault="00DA19B2" w:rsidP="00004465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DA19B2" w:rsidRPr="00C40646" w:rsidRDefault="00DA19B2" w:rsidP="00004465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DA19B2" w:rsidRPr="00C40646" w:rsidRDefault="00DA19B2" w:rsidP="00004465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E72BC1" w:rsidRPr="00C40646" w:rsidTr="004A5A74">
        <w:trPr>
          <w:trHeight w:val="1771"/>
        </w:trPr>
        <w:tc>
          <w:tcPr>
            <w:tcW w:w="1428" w:type="pct"/>
            <w:vAlign w:val="center"/>
          </w:tcPr>
          <w:p w:rsidR="00E72BC1" w:rsidRPr="00C40646" w:rsidRDefault="00E72BC1" w:rsidP="00DA19B2">
            <w:r w:rsidRPr="00C40646">
              <w:rPr>
                <w:sz w:val="22"/>
                <w:szCs w:val="22"/>
              </w:rPr>
              <w:lastRenderedPageBreak/>
              <w:t xml:space="preserve">Система </w:t>
            </w:r>
            <w:r>
              <w:rPr>
                <w:sz w:val="22"/>
                <w:szCs w:val="22"/>
              </w:rPr>
              <w:t>теплоснабжения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418" w:type="pct"/>
            <w:vAlign w:val="center"/>
          </w:tcPr>
          <w:p w:rsidR="00E72BC1" w:rsidRPr="00675559" w:rsidRDefault="00E72BC1" w:rsidP="00E72BC1">
            <w:r w:rsidRPr="00675559">
              <w:rPr>
                <w:sz w:val="22"/>
                <w:szCs w:val="22"/>
              </w:rPr>
              <w:t>Удельные показатели максимальной тепловой нагрузки на отопление и вентиляцию жилых домов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675559">
              <w:rPr>
                <w:sz w:val="22"/>
                <w:szCs w:val="22"/>
              </w:rPr>
              <w:t>Вт/м2 (Для зданий строительства после 201</w:t>
            </w:r>
            <w:r>
              <w:rPr>
                <w:sz w:val="22"/>
                <w:szCs w:val="22"/>
              </w:rPr>
              <w:t>5</w:t>
            </w:r>
            <w:r w:rsidRPr="00675559">
              <w:rPr>
                <w:sz w:val="22"/>
                <w:szCs w:val="22"/>
              </w:rPr>
              <w:t xml:space="preserve"> г.) </w:t>
            </w:r>
            <w:r w:rsidRPr="00675559">
              <w:rPr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E72BC1" w:rsidRPr="00C40646" w:rsidRDefault="00E72BC1" w:rsidP="00004465">
            <w:pPr>
              <w:jc w:val="center"/>
            </w:pPr>
            <w:r w:rsidRPr="00BB58CC">
              <w:rPr>
                <w:sz w:val="22"/>
              </w:rPr>
              <w:t>85 - для 1-3-этажных одноквартирных отдельностоящих жилых зданий</w:t>
            </w:r>
          </w:p>
        </w:tc>
      </w:tr>
    </w:tbl>
    <w:p w:rsidR="00DA19B2" w:rsidRDefault="00DA19B2" w:rsidP="00DA19B2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DA19B2" w:rsidRPr="00952751" w:rsidRDefault="00DA19B2" w:rsidP="00DA19B2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52751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952751">
        <w:rPr>
          <w:color w:val="000000" w:themeColor="text1"/>
        </w:rPr>
        <w:t xml:space="preserve">В соответствии с Приложением (В) СП </w:t>
      </w:r>
      <w:r>
        <w:t>124.13330.2012 «</w:t>
      </w:r>
      <w:r w:rsidRPr="00675559">
        <w:t>Тепловые сети. Актуализированная редакция СНиП 41-02-2003</w:t>
      </w:r>
      <w:r>
        <w:t>»</w:t>
      </w:r>
      <w:r w:rsidRPr="00952751">
        <w:rPr>
          <w:color w:val="000000" w:themeColor="text1"/>
        </w:rPr>
        <w:t>;</w:t>
      </w:r>
    </w:p>
    <w:p w:rsidR="00DA19B2" w:rsidRDefault="00DA19B2" w:rsidP="00E72BC1">
      <w:pPr>
        <w:widowControl w:val="0"/>
        <w:autoSpaceDE w:val="0"/>
        <w:autoSpaceDN w:val="0"/>
        <w:ind w:firstLine="851"/>
      </w:pPr>
      <w:r w:rsidRPr="00E72BC1">
        <w:rPr>
          <w:color w:val="000000" w:themeColor="text1"/>
        </w:rPr>
        <w:t>2. Показатели максимально допустимого уровня территориальной доступности объектов не нормируется</w:t>
      </w:r>
      <w:r w:rsidRPr="00E72BC1">
        <w:t>.</w:t>
      </w:r>
    </w:p>
    <w:p w:rsidR="00DA19B2" w:rsidRPr="00E72BC1" w:rsidRDefault="00DA19B2" w:rsidP="00F562A8">
      <w:pPr>
        <w:widowControl w:val="0"/>
        <w:autoSpaceDE w:val="0"/>
        <w:autoSpaceDN w:val="0"/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обслуживания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</w:t>
            </w:r>
            <w:r w:rsidR="00D011CF">
              <w:rPr>
                <w:rFonts w:eastAsia="Calibri"/>
                <w:b/>
                <w:szCs w:val="28"/>
                <w:lang w:eastAsia="en-US"/>
              </w:rPr>
              <w:t>Верх-Усуглинское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лицах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дорог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r w:rsidRPr="0033603E">
              <w:rPr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>м Минрегиона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следует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>м Минрегиона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 xml:space="preserve">в области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доступност</w:t>
            </w:r>
            <w:r w:rsidRPr="007D2633">
              <w:rPr>
                <w:color w:val="000000"/>
                <w:sz w:val="22"/>
                <w:szCs w:val="22"/>
              </w:rPr>
              <w:t>и, м</w:t>
            </w:r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авт./ч); основные геометрические параметры велосипедной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lastRenderedPageBreak/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велопешеходной дорожки,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100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доступности, м.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20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30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питания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количество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 xml:space="preserve">населения </w:t>
            </w:r>
            <w:r w:rsidR="002A6271">
              <w:t xml:space="preserve"> </w:t>
            </w:r>
            <w:r w:rsidR="00DC0B6F">
              <w:t xml:space="preserve"> </w:t>
            </w:r>
            <w:r w:rsidR="003A521F">
              <w:rPr>
                <w:b/>
              </w:rPr>
              <w:t>Соцгородского</w:t>
            </w:r>
            <w:r w:rsidR="00DC0B6F" w:rsidRPr="00DC0B6F">
              <w:rPr>
                <w:b/>
              </w:rPr>
              <w:t xml:space="preserve"> </w:t>
            </w:r>
            <w:r w:rsidR="002A6271" w:rsidRPr="002A6271">
              <w:rPr>
                <w:b/>
              </w:rPr>
              <w:t xml:space="preserve"> </w:t>
            </w:r>
            <w:r w:rsidR="008D2C79" w:rsidRPr="008D2C79">
              <w:rPr>
                <w:b/>
              </w:rPr>
              <w:t xml:space="preserve"> сельского поселения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C73A6B" w:rsidRPr="00C73A6B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установлены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соответствии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полнотексто</w:t>
            </w:r>
            <w:r w:rsidRPr="00EB5097">
              <w:rPr>
                <w:sz w:val="22"/>
                <w:szCs w:val="22"/>
                <w:lang w:eastAsia="en-US"/>
              </w:rPr>
              <w:lastRenderedPageBreak/>
              <w:t>вым информационным ресурсам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lastRenderedPageBreak/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 xml:space="preserve">Транспортная </w:t>
            </w:r>
            <w:r w:rsidRPr="00EB5097">
              <w:rPr>
                <w:sz w:val="22"/>
                <w:szCs w:val="22"/>
                <w:lang w:eastAsia="en-US"/>
              </w:rPr>
              <w:lastRenderedPageBreak/>
              <w:t>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A266AF">
              <w:rPr>
                <w:b/>
                <w:spacing w:val="-6"/>
                <w:lang w:eastAsia="en-US"/>
              </w:rPr>
              <w:t>«</w:t>
            </w:r>
            <w:r w:rsidR="00D011CF">
              <w:rPr>
                <w:b/>
                <w:spacing w:val="-6"/>
                <w:lang w:eastAsia="en-US"/>
              </w:rPr>
              <w:t>Верх-Усуглинское</w:t>
            </w:r>
            <w:r w:rsidR="00A266AF">
              <w:rPr>
                <w:b/>
                <w:spacing w:val="-6"/>
                <w:lang w:eastAsia="en-US"/>
              </w:rPr>
              <w:t>»</w:t>
            </w:r>
            <w:r w:rsidR="008D2C79" w:rsidRPr="008D2C79">
              <w:rPr>
                <w:b/>
                <w:spacing w:val="-6"/>
                <w:lang w:eastAsia="en-US"/>
              </w:rPr>
              <w:t xml:space="preserve"> </w:t>
            </w:r>
            <w:r w:rsidR="003F3E50">
              <w:rPr>
                <w:b/>
                <w:spacing w:val="-6"/>
                <w:lang w:eastAsia="en-US"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E20EAC" w:rsidRPr="00E20EAC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>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N 244</w:t>
      </w:r>
      <w:r w:rsidR="00E20EAC">
        <w:rPr>
          <w:rFonts w:eastAsia="TimesNewRomanPSMT"/>
        </w:rPr>
        <w:t xml:space="preserve"> и Стратегии социально-экономического развития Соцгородского муниципального образования на 2019-2030 гг</w:t>
      </w:r>
      <w:r w:rsidR="00E20EAC" w:rsidRPr="00E20EAC">
        <w:rPr>
          <w:rFonts w:eastAsia="TimesNewRomanPSMT"/>
        </w:rPr>
        <w:t>.</w:t>
      </w:r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бъектами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площадь пола спортивных залов на 1000 жит., кв.м.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доступности, км</w:t>
            </w:r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объектами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</w:t>
            </w:r>
            <w:r w:rsidRPr="000B6AED">
              <w:rPr>
                <w:b/>
              </w:rPr>
              <w:lastRenderedPageBreak/>
              <w:t xml:space="preserve">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</w:t>
            </w:r>
            <w:r w:rsidR="00D011CF">
              <w:rPr>
                <w:b/>
              </w:rPr>
              <w:t>Верх-Усуглинское</w:t>
            </w:r>
            <w:r w:rsidR="00A266A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2B6169" w:rsidRPr="002B6169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</w:t>
      </w:r>
      <w:r w:rsidR="000D4A74">
        <w:rPr>
          <w:rFonts w:eastAsia="TimesNewRomanPSMT"/>
        </w:rPr>
        <w:t xml:space="preserve"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общественного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подписан 13.04.2017 N 711/пр)</w:t>
      </w:r>
      <w:r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(административный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озеленения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</w:t>
            </w:r>
            <w:r w:rsidR="00D143D2"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</w:t>
            </w:r>
            <w:r w:rsidR="00D011CF">
              <w:rPr>
                <w:b/>
              </w:rPr>
              <w:t>Верх-Усуглинское</w:t>
            </w:r>
            <w:r w:rsidR="00A266A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ритуального обслуживания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сфере. Расчетные показатели минимально допустимого уровня обеспеченно</w:t>
      </w:r>
      <w:r>
        <w:rPr>
          <w:rFonts w:eastAsia="TimesNewRomanPSMT"/>
        </w:rPr>
        <w:lastRenderedPageBreak/>
        <w:t>сти объектами местного значения и показатели максимально допустимого уровня территориал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га. на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</w:t>
      </w:r>
      <w:r w:rsidR="00D011CF">
        <w:rPr>
          <w:b/>
        </w:rPr>
        <w:t>Верх-Усуглинское</w:t>
      </w:r>
      <w:r w:rsidR="00A266A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 xml:space="preserve">первичной пожарной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доступности,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определяется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lastRenderedPageBreak/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 xml:space="preserve">Расчётные показатели минимально допустимого уровня обеспеченности объектами местного значения поселения </w:t>
      </w:r>
      <w:r w:rsidR="00314DD8">
        <w:rPr>
          <w:b/>
          <w:bCs/>
        </w:rPr>
        <w:t xml:space="preserve">в области сбора, обработки, утилизации и обезвреживания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</w:t>
      </w:r>
      <w:r w:rsidR="00D011CF">
        <w:rPr>
          <w:b/>
        </w:rPr>
        <w:t>Верх-Усуглинское</w:t>
      </w:r>
      <w:r w:rsidR="00A266A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Бконт = Пгод × t × К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Пгод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 w:rsidR="008D2C79" w:rsidRPr="008D2C79">
        <w:t xml:space="preserve"> </w:t>
      </w:r>
      <w:r w:rsidR="003F3E50">
        <w:t>муниципального района «Тунгокоченский район»</w:t>
      </w:r>
      <w:r w:rsidR="002B6169" w:rsidRPr="002B6169">
        <w:t xml:space="preserve"> </w:t>
      </w:r>
      <w:r w:rsidR="003F3E50">
        <w:t>Забайкальского края</w:t>
      </w:r>
      <w: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3F3E50">
        <w:t xml:space="preserve">сельского поселения </w:t>
      </w:r>
      <w:r w:rsidR="00A266AF">
        <w:t>«</w:t>
      </w:r>
      <w:r w:rsidR="00D011CF">
        <w:t>Верх-Усуглинское</w:t>
      </w:r>
      <w:r w:rsidR="00A266AF">
        <w:t>»</w:t>
      </w:r>
      <w:r>
        <w:t xml:space="preserve">. 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 xml:space="preserve">сельского поселения </w:t>
      </w:r>
      <w:r w:rsidR="00A266AF">
        <w:rPr>
          <w:bCs/>
          <w:szCs w:val="28"/>
        </w:rPr>
        <w:t>«</w:t>
      </w:r>
      <w:r w:rsidR="00D011CF">
        <w:rPr>
          <w:bCs/>
          <w:szCs w:val="28"/>
        </w:rPr>
        <w:t>Верх-Усуглинское</w:t>
      </w:r>
      <w:r w:rsidR="00A266AF">
        <w:rPr>
          <w:bCs/>
          <w:szCs w:val="28"/>
        </w:rPr>
        <w:t>»</w:t>
      </w:r>
      <w:r w:rsidR="008D2C79" w:rsidRPr="008D2C79">
        <w:rPr>
          <w:bCs/>
          <w:szCs w:val="28"/>
        </w:rPr>
        <w:t xml:space="preserve"> </w:t>
      </w:r>
      <w:r w:rsidR="003F3E50">
        <w:rPr>
          <w:bCs/>
          <w:szCs w:val="28"/>
        </w:rPr>
        <w:t>муниципального района «Тунгокоченский район»</w:t>
      </w:r>
      <w:r>
        <w:rPr>
          <w:bCs/>
          <w:szCs w:val="28"/>
        </w:rPr>
        <w:t>, представлены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>утв. Приказом Мин</w:t>
            </w:r>
            <w:r w:rsidR="00734CED">
              <w:rPr>
                <w:sz w:val="22"/>
                <w:szCs w:val="22"/>
              </w:rPr>
              <w:t>региона РФ от 28.12.2010 N820)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8A099C" w:rsidRPr="006B7E16" w:rsidRDefault="00CB0231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сооружения. (утв. Приказом Минрегион России от</w:t>
            </w:r>
            <w:r w:rsidR="00734CED">
              <w:rPr>
                <w:sz w:val="22"/>
                <w:szCs w:val="22"/>
              </w:rPr>
              <w:t xml:space="preserve"> 29.12.2011 N 635/14). П.5.1.</w:t>
            </w:r>
          </w:p>
        </w:tc>
      </w:tr>
      <w:tr w:rsidR="00CB0231" w:rsidRPr="009E1D56" w:rsidTr="008A099C">
        <w:trPr>
          <w:trHeight w:val="495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101DFF" w:rsidRPr="009E1D56" w:rsidTr="00FA5784">
        <w:trPr>
          <w:trHeight w:val="240"/>
        </w:trPr>
        <w:tc>
          <w:tcPr>
            <w:tcW w:w="567" w:type="dxa"/>
            <w:shd w:val="clear" w:color="auto" w:fill="auto"/>
          </w:tcPr>
          <w:p w:rsidR="00101DFF" w:rsidRPr="006B7E16" w:rsidRDefault="00101DFF" w:rsidP="00101DF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809" w:type="dxa"/>
            <w:shd w:val="clear" w:color="auto" w:fill="auto"/>
          </w:tcPr>
          <w:p w:rsidR="00101DFF" w:rsidRPr="00101DFF" w:rsidRDefault="00101DFF" w:rsidP="00101DFF">
            <w:pPr>
              <w:rPr>
                <w:sz w:val="22"/>
                <w:szCs w:val="22"/>
              </w:rPr>
            </w:pPr>
            <w:r w:rsidRPr="00101DFF">
              <w:rPr>
                <w:sz w:val="22"/>
                <w:szCs w:val="22"/>
              </w:rPr>
              <w:t>Объекты теплоснабжения</w:t>
            </w:r>
          </w:p>
        </w:tc>
        <w:tc>
          <w:tcPr>
            <w:tcW w:w="1843" w:type="dxa"/>
            <w:shd w:val="clear" w:color="auto" w:fill="auto"/>
          </w:tcPr>
          <w:p w:rsidR="00101DFF" w:rsidRPr="00101DFF" w:rsidRDefault="00101DFF" w:rsidP="00101DFF">
            <w:pPr>
              <w:rPr>
                <w:sz w:val="22"/>
                <w:szCs w:val="22"/>
              </w:rPr>
            </w:pPr>
            <w:r w:rsidRPr="00101DFF">
              <w:rPr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101DFF" w:rsidRPr="00101DFF" w:rsidRDefault="00101DFF" w:rsidP="00101DFF">
            <w:pPr>
              <w:rPr>
                <w:sz w:val="22"/>
                <w:szCs w:val="22"/>
              </w:rPr>
            </w:pPr>
            <w:r w:rsidRPr="00101DFF">
              <w:rPr>
                <w:sz w:val="22"/>
                <w:szCs w:val="22"/>
              </w:rPr>
              <w:t>Расчетный показатель установлен в соответствии с Приложением (В) СП 124.13330.2012 «Тепловые сети. Актуализированная редакция СНиП 41-02-2003».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обслуживания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п 1.15. «Руководство по проектированию городских улиц и дорог» Центральный Научно-Исследовательский И Проектный Институт По Градостроительству (ЦНИИП Градостроительства) Госгражданстроя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количество топливораздаточных колонок на 1200 автомобилей, зарегистрированных на </w:t>
            </w:r>
            <w:r w:rsidRPr="006B7E16">
              <w:rPr>
                <w:sz w:val="22"/>
                <w:szCs w:val="22"/>
              </w:rPr>
              <w:lastRenderedPageBreak/>
              <w:t>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>с 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</w:t>
            </w:r>
            <w:r w:rsidR="002C4EBE"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 xml:space="preserve">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спортивных залов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помещений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sz w:val="22"/>
                <w:szCs w:val="22"/>
                <w:highlight w:val="yellow"/>
              </w:rPr>
            </w:pPr>
            <w:r w:rsidRPr="006B7E16">
              <w:rPr>
                <w:sz w:val="22"/>
                <w:szCs w:val="22"/>
              </w:rPr>
              <w:t>1 объект на каждые 1000 человек населения н.п.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Общегородские парки (административный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озеленения, кв.м.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Cs/>
                <w:sz w:val="22"/>
                <w:szCs w:val="22"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м2 на чел. принято в соответствии с таблицей 9.2. СП 42.13330 «СНиП 2.07.01-89*» Планировка и застройка городских и сельских поселений. Актуализированная редакция (утв. Приказом Минстроя России от 30.12.2016 N 1034/ пр)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</w:t>
            </w:r>
            <w:r w:rsidRPr="006B7E16">
              <w:rPr>
                <w:bCs/>
                <w:sz w:val="22"/>
                <w:szCs w:val="22"/>
              </w:rPr>
              <w:lastRenderedPageBreak/>
              <w:t>ства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500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734CED">
        <w:trPr>
          <w:trHeight w:val="15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734CED">
        <w:trPr>
          <w:trHeight w:val="110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гидрант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гидрантов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Федерального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</w:t>
            </w:r>
            <w:r w:rsidRPr="006B7E16">
              <w:rPr>
                <w:sz w:val="22"/>
                <w:szCs w:val="22"/>
              </w:rPr>
              <w:lastRenderedPageBreak/>
              <w:t>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Постановлением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территориальной схемы обращения с отходами Забайкальского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D011CF">
        <w:rPr>
          <w:spacing w:val="-6"/>
          <w:lang w:eastAsia="en-US"/>
        </w:rPr>
        <w:t>Верх-Усуглинское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градостроительной деятельности в Забайкальском крае»</w:t>
      </w:r>
      <w:r w:rsidRPr="00B17FE8">
        <w:t xml:space="preserve"> и документах территориального планирования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D011CF">
        <w:rPr>
          <w:spacing w:val="-6"/>
          <w:lang w:eastAsia="en-US"/>
        </w:rPr>
        <w:t>Верх-Усуглинское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поселения.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8"/>
      <w:footerReference w:type="default" r:id="rId9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3E" w:rsidRDefault="00C3333E" w:rsidP="000D5211">
      <w:r>
        <w:separator/>
      </w:r>
    </w:p>
  </w:endnote>
  <w:endnote w:type="continuationSeparator" w:id="0">
    <w:p w:rsidR="00C3333E" w:rsidRDefault="00C3333E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842640"/>
      <w:docPartObj>
        <w:docPartGallery w:val="Page Numbers (Bottom of Page)"/>
        <w:docPartUnique/>
      </w:docPartObj>
    </w:sdtPr>
    <w:sdtContent>
      <w:p w:rsidR="00D011CF" w:rsidRDefault="00D011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3F">
          <w:rPr>
            <w:noProof/>
          </w:rPr>
          <w:t>3</w:t>
        </w:r>
        <w:r>
          <w:fldChar w:fldCharType="end"/>
        </w:r>
      </w:p>
    </w:sdtContent>
  </w:sdt>
  <w:p w:rsidR="00D011CF" w:rsidRDefault="00D011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3E" w:rsidRDefault="00C3333E" w:rsidP="000D5211">
      <w:r>
        <w:separator/>
      </w:r>
    </w:p>
  </w:footnote>
  <w:footnote w:type="continuationSeparator" w:id="0">
    <w:p w:rsidR="00C3333E" w:rsidRDefault="00C3333E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CF" w:rsidRDefault="00D011CF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>адостроительного проектирования Верх-Усуглинского СП</w:t>
    </w:r>
    <w:r w:rsidRPr="00CA19B4">
      <w:rPr>
        <w:i/>
        <w:color w:val="7F7F7F" w:themeColor="text1" w:themeTint="80"/>
        <w:sz w:val="18"/>
      </w:rPr>
      <w:t xml:space="preserve"> </w:t>
    </w:r>
  </w:p>
  <w:p w:rsidR="00D011CF" w:rsidRDefault="00D011CF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«Тунгокоченский район»</w:t>
    </w:r>
    <w:r w:rsidRPr="00114594">
      <w:rPr>
        <w:i/>
        <w:color w:val="7F7F7F" w:themeColor="text1" w:themeTint="80"/>
        <w:sz w:val="18"/>
      </w:rPr>
      <w:t xml:space="preserve"> </w:t>
    </w:r>
    <w:r>
      <w:rPr>
        <w:i/>
        <w:color w:val="7F7F7F" w:themeColor="text1" w:themeTint="80"/>
        <w:sz w:val="18"/>
      </w:rPr>
      <w:t>Забайкальского края</w:t>
    </w:r>
  </w:p>
  <w:p w:rsidR="00D011CF" w:rsidRPr="003A521F" w:rsidRDefault="00D011CF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A24C07"/>
    <w:multiLevelType w:val="hybridMultilevel"/>
    <w:tmpl w:val="65CCB87E"/>
    <w:lvl w:ilvl="0" w:tplc="D8829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6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8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59DF"/>
    <w:rsid w:val="00011780"/>
    <w:rsid w:val="000142BF"/>
    <w:rsid w:val="000349CE"/>
    <w:rsid w:val="00040020"/>
    <w:rsid w:val="000402E4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01DFF"/>
    <w:rsid w:val="001132CA"/>
    <w:rsid w:val="00114594"/>
    <w:rsid w:val="00116B37"/>
    <w:rsid w:val="0012181B"/>
    <w:rsid w:val="00123DDF"/>
    <w:rsid w:val="00137162"/>
    <w:rsid w:val="001575C0"/>
    <w:rsid w:val="001577E8"/>
    <w:rsid w:val="00160BEB"/>
    <w:rsid w:val="00164635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411E"/>
    <w:rsid w:val="002200EB"/>
    <w:rsid w:val="00232826"/>
    <w:rsid w:val="00232A0E"/>
    <w:rsid w:val="00240389"/>
    <w:rsid w:val="0025350C"/>
    <w:rsid w:val="00254227"/>
    <w:rsid w:val="002542B5"/>
    <w:rsid w:val="00257715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78E8"/>
    <w:rsid w:val="002D7E5E"/>
    <w:rsid w:val="002E11D8"/>
    <w:rsid w:val="002E5FC7"/>
    <w:rsid w:val="002E7E73"/>
    <w:rsid w:val="002F2513"/>
    <w:rsid w:val="003016A3"/>
    <w:rsid w:val="00314DD8"/>
    <w:rsid w:val="00317E98"/>
    <w:rsid w:val="00321191"/>
    <w:rsid w:val="003243E9"/>
    <w:rsid w:val="0033603E"/>
    <w:rsid w:val="00344B45"/>
    <w:rsid w:val="00352C59"/>
    <w:rsid w:val="0035501F"/>
    <w:rsid w:val="00361D5F"/>
    <w:rsid w:val="00370BB6"/>
    <w:rsid w:val="0037495A"/>
    <w:rsid w:val="00380727"/>
    <w:rsid w:val="003A25F4"/>
    <w:rsid w:val="003A521F"/>
    <w:rsid w:val="003A7B85"/>
    <w:rsid w:val="003A7F07"/>
    <w:rsid w:val="003C04F3"/>
    <w:rsid w:val="003C3E1D"/>
    <w:rsid w:val="003C619F"/>
    <w:rsid w:val="003D69CB"/>
    <w:rsid w:val="003E6FE5"/>
    <w:rsid w:val="003F19F9"/>
    <w:rsid w:val="003F3E50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9673F"/>
    <w:rsid w:val="005A00DF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3258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6F7DA5"/>
    <w:rsid w:val="00733881"/>
    <w:rsid w:val="00734CED"/>
    <w:rsid w:val="007409C4"/>
    <w:rsid w:val="00752B62"/>
    <w:rsid w:val="0076109F"/>
    <w:rsid w:val="00762530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D2633"/>
    <w:rsid w:val="007E2A81"/>
    <w:rsid w:val="007E42DE"/>
    <w:rsid w:val="007F1339"/>
    <w:rsid w:val="007F5E6D"/>
    <w:rsid w:val="00822FFA"/>
    <w:rsid w:val="00833015"/>
    <w:rsid w:val="008355B7"/>
    <w:rsid w:val="0085427B"/>
    <w:rsid w:val="008545E2"/>
    <w:rsid w:val="00856F5E"/>
    <w:rsid w:val="00867959"/>
    <w:rsid w:val="0087716A"/>
    <w:rsid w:val="00877765"/>
    <w:rsid w:val="0089291A"/>
    <w:rsid w:val="00892DC7"/>
    <w:rsid w:val="0089618D"/>
    <w:rsid w:val="008A099C"/>
    <w:rsid w:val="008A3A55"/>
    <w:rsid w:val="008A4EAF"/>
    <w:rsid w:val="008A6FDB"/>
    <w:rsid w:val="008B7DAE"/>
    <w:rsid w:val="008C2E1A"/>
    <w:rsid w:val="008C406C"/>
    <w:rsid w:val="008C6F55"/>
    <w:rsid w:val="008D2C79"/>
    <w:rsid w:val="008E0BEF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2751"/>
    <w:rsid w:val="00953086"/>
    <w:rsid w:val="0096000C"/>
    <w:rsid w:val="00963965"/>
    <w:rsid w:val="00964578"/>
    <w:rsid w:val="009676DA"/>
    <w:rsid w:val="00970498"/>
    <w:rsid w:val="00972B57"/>
    <w:rsid w:val="009929ED"/>
    <w:rsid w:val="009A1C74"/>
    <w:rsid w:val="009A2F41"/>
    <w:rsid w:val="009D31E9"/>
    <w:rsid w:val="009D6CC7"/>
    <w:rsid w:val="009D73F6"/>
    <w:rsid w:val="009E1D56"/>
    <w:rsid w:val="009F3925"/>
    <w:rsid w:val="00A10052"/>
    <w:rsid w:val="00A20BCF"/>
    <w:rsid w:val="00A266AF"/>
    <w:rsid w:val="00A30D08"/>
    <w:rsid w:val="00A34572"/>
    <w:rsid w:val="00A351E3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1B51"/>
    <w:rsid w:val="00B259B2"/>
    <w:rsid w:val="00B31A86"/>
    <w:rsid w:val="00B456AA"/>
    <w:rsid w:val="00B46681"/>
    <w:rsid w:val="00B4691B"/>
    <w:rsid w:val="00B50D3A"/>
    <w:rsid w:val="00B60916"/>
    <w:rsid w:val="00B60F46"/>
    <w:rsid w:val="00B61B1D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58CC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329A0"/>
    <w:rsid w:val="00C3333E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E2CC8"/>
    <w:rsid w:val="00CE4F10"/>
    <w:rsid w:val="00D011CF"/>
    <w:rsid w:val="00D06401"/>
    <w:rsid w:val="00D070A2"/>
    <w:rsid w:val="00D13154"/>
    <w:rsid w:val="00D143D2"/>
    <w:rsid w:val="00D16FFB"/>
    <w:rsid w:val="00D21BA1"/>
    <w:rsid w:val="00D26094"/>
    <w:rsid w:val="00D31B52"/>
    <w:rsid w:val="00D321A6"/>
    <w:rsid w:val="00D33FDA"/>
    <w:rsid w:val="00D44AD3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825CB"/>
    <w:rsid w:val="00D935DF"/>
    <w:rsid w:val="00D96E43"/>
    <w:rsid w:val="00D97A4D"/>
    <w:rsid w:val="00DA19B2"/>
    <w:rsid w:val="00DA6D69"/>
    <w:rsid w:val="00DB1D9C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32E1"/>
    <w:rsid w:val="00E54B90"/>
    <w:rsid w:val="00E554C2"/>
    <w:rsid w:val="00E62587"/>
    <w:rsid w:val="00E6336E"/>
    <w:rsid w:val="00E64187"/>
    <w:rsid w:val="00E701EB"/>
    <w:rsid w:val="00E72BC1"/>
    <w:rsid w:val="00E82129"/>
    <w:rsid w:val="00E937F5"/>
    <w:rsid w:val="00EA7B48"/>
    <w:rsid w:val="00EB4882"/>
    <w:rsid w:val="00EB5097"/>
    <w:rsid w:val="00ED0AB3"/>
    <w:rsid w:val="00EE3037"/>
    <w:rsid w:val="00EE5F26"/>
    <w:rsid w:val="00EE7FD9"/>
    <w:rsid w:val="00EF6EEC"/>
    <w:rsid w:val="00F128EB"/>
    <w:rsid w:val="00F152AD"/>
    <w:rsid w:val="00F324AE"/>
    <w:rsid w:val="00F34544"/>
    <w:rsid w:val="00F354E9"/>
    <w:rsid w:val="00F432C6"/>
    <w:rsid w:val="00F50540"/>
    <w:rsid w:val="00F52787"/>
    <w:rsid w:val="00F528BA"/>
    <w:rsid w:val="00F52D67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2EF14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3A85-7520-449B-94B8-D62B7516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20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121</cp:revision>
  <cp:lastPrinted>2021-06-12T12:37:00Z</cp:lastPrinted>
  <dcterms:created xsi:type="dcterms:W3CDTF">2019-12-07T18:50:00Z</dcterms:created>
  <dcterms:modified xsi:type="dcterms:W3CDTF">2021-06-12T12:38:00Z</dcterms:modified>
</cp:coreProperties>
</file>