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65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Кириллова Алексея Сергеевича, выдвинутого 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2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C0A2C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Кирилловым Алексеем Сергеевичем,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2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>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 Кириллова Алексея Сергеевича, 1970 года рождения,</w:t>
      </w:r>
      <w:r w:rsidR="0099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995C2B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2</w:t>
      </w:r>
      <w:r w:rsidR="00995C2B"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07 апреля  2023 года, время регистрации - </w:t>
      </w:r>
      <w:r>
        <w:rPr>
          <w:rFonts w:ascii="Times New Roman" w:hAnsi="Times New Roman"/>
          <w:sz w:val="28"/>
          <w:szCs w:val="28"/>
        </w:rPr>
        <w:t>15 часов 30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453E08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453E08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2 </w:t>
      </w:r>
      <w:r>
        <w:rPr>
          <w:rFonts w:ascii="Times New Roman" w:hAnsi="Times New Roman"/>
          <w:color w:val="000000"/>
          <w:sz w:val="28"/>
          <w:szCs w:val="28"/>
        </w:rPr>
        <w:t xml:space="preserve">  Кириллову Алексею Сергеевичу  удостоверение установленного образца.</w:t>
      </w:r>
    </w:p>
    <w:p w:rsidR="0051528C" w:rsidRDefault="00995C2B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995C2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95C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2F3897"/>
    <w:rsid w:val="004200A6"/>
    <w:rsid w:val="00453E08"/>
    <w:rsid w:val="0050641B"/>
    <w:rsid w:val="0051528C"/>
    <w:rsid w:val="00547E5C"/>
    <w:rsid w:val="005B0419"/>
    <w:rsid w:val="00801EB5"/>
    <w:rsid w:val="008F51F0"/>
    <w:rsid w:val="00995C2B"/>
    <w:rsid w:val="009A380D"/>
    <w:rsid w:val="00A46899"/>
    <w:rsid w:val="00A527FE"/>
    <w:rsid w:val="00AC0A2C"/>
    <w:rsid w:val="00BB06D6"/>
    <w:rsid w:val="00BC51D8"/>
    <w:rsid w:val="00C4576D"/>
    <w:rsid w:val="00E223D8"/>
    <w:rsid w:val="00E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dcterms:created xsi:type="dcterms:W3CDTF">2023-04-14T08:12:00Z</dcterms:created>
  <dcterms:modified xsi:type="dcterms:W3CDTF">2023-04-14T08:44:00Z</dcterms:modified>
</cp:coreProperties>
</file>