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70" w:rsidRPr="009C1132" w:rsidRDefault="005B7CC5" w:rsidP="005B7CC5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C1132">
        <w:rPr>
          <w:rFonts w:ascii="Times New Roman" w:hAnsi="Times New Roman"/>
          <w:b/>
          <w:noProof/>
          <w:sz w:val="28"/>
          <w:szCs w:val="28"/>
        </w:rPr>
        <w:t>Администрация  Тунгокоченского</w:t>
      </w:r>
    </w:p>
    <w:p w:rsidR="005B7CC5" w:rsidRPr="009C1132" w:rsidRDefault="005B7CC5" w:rsidP="005B7CC5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C1132">
        <w:rPr>
          <w:rFonts w:ascii="Times New Roman" w:hAnsi="Times New Roman"/>
          <w:b/>
          <w:noProof/>
          <w:sz w:val="28"/>
          <w:szCs w:val="28"/>
        </w:rPr>
        <w:t xml:space="preserve"> муниципального округа</w:t>
      </w:r>
    </w:p>
    <w:p w:rsidR="005B7CC5" w:rsidRPr="009C1132" w:rsidRDefault="005B7CC5" w:rsidP="005B7CC5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C1132">
        <w:rPr>
          <w:rFonts w:ascii="Times New Roman" w:hAnsi="Times New Roman"/>
          <w:b/>
          <w:noProof/>
          <w:sz w:val="28"/>
          <w:szCs w:val="28"/>
        </w:rPr>
        <w:t>Забайкальского края</w:t>
      </w:r>
    </w:p>
    <w:p w:rsidR="005B7CC5" w:rsidRPr="009C1132" w:rsidRDefault="005B7CC5" w:rsidP="005B7CC5">
      <w:pPr>
        <w:pStyle w:val="1"/>
        <w:rPr>
          <w:sz w:val="28"/>
          <w:szCs w:val="28"/>
        </w:rPr>
      </w:pPr>
    </w:p>
    <w:p w:rsidR="005B7CC5" w:rsidRPr="009C1132" w:rsidRDefault="005B7CC5" w:rsidP="005B7CC5">
      <w:pPr>
        <w:pStyle w:val="1"/>
        <w:rPr>
          <w:sz w:val="28"/>
          <w:szCs w:val="28"/>
        </w:rPr>
      </w:pPr>
      <w:r w:rsidRPr="009C1132">
        <w:rPr>
          <w:sz w:val="28"/>
          <w:szCs w:val="28"/>
        </w:rPr>
        <w:t>ПОСТАНОВЛЕНИЕ</w:t>
      </w:r>
    </w:p>
    <w:p w:rsidR="005B7CC5" w:rsidRPr="009C1132" w:rsidRDefault="005B7CC5" w:rsidP="005B7C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4"/>
        <w:gridCol w:w="3284"/>
      </w:tblGrid>
      <w:tr w:rsidR="005B7CC5" w:rsidRPr="009C1132" w:rsidTr="005B7CC5">
        <w:tc>
          <w:tcPr>
            <w:tcW w:w="3284" w:type="dxa"/>
            <w:hideMark/>
          </w:tcPr>
          <w:p w:rsidR="005B7CC5" w:rsidRPr="009C1132" w:rsidRDefault="00C624AC" w:rsidP="005B7C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132">
              <w:rPr>
                <w:rFonts w:ascii="Times New Roman" w:hAnsi="Times New Roman"/>
                <w:sz w:val="28"/>
                <w:szCs w:val="28"/>
              </w:rPr>
              <w:t xml:space="preserve">  27 декабря </w:t>
            </w:r>
            <w:r w:rsidR="005B7CC5" w:rsidRPr="009C1132">
              <w:rPr>
                <w:rFonts w:ascii="Times New Roman" w:hAnsi="Times New Roman"/>
                <w:sz w:val="28"/>
                <w:szCs w:val="28"/>
              </w:rPr>
              <w:t xml:space="preserve"> 2024 года </w:t>
            </w:r>
          </w:p>
        </w:tc>
        <w:tc>
          <w:tcPr>
            <w:tcW w:w="3284" w:type="dxa"/>
          </w:tcPr>
          <w:p w:rsidR="005B7CC5" w:rsidRPr="009C1132" w:rsidRDefault="005B7CC5" w:rsidP="005B7C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CC5" w:rsidRPr="009C1132" w:rsidRDefault="005B7CC5" w:rsidP="005B7C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13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C1132">
              <w:rPr>
                <w:rFonts w:ascii="Times New Roman" w:hAnsi="Times New Roman"/>
                <w:sz w:val="28"/>
                <w:szCs w:val="28"/>
              </w:rPr>
              <w:t>Верх-Усугли</w:t>
            </w:r>
            <w:proofErr w:type="spellEnd"/>
          </w:p>
        </w:tc>
        <w:tc>
          <w:tcPr>
            <w:tcW w:w="3284" w:type="dxa"/>
          </w:tcPr>
          <w:p w:rsidR="005B7CC5" w:rsidRPr="009C1132" w:rsidRDefault="00C624AC" w:rsidP="005B7C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132">
              <w:rPr>
                <w:rFonts w:ascii="Times New Roman" w:hAnsi="Times New Roman"/>
                <w:sz w:val="28"/>
                <w:szCs w:val="28"/>
              </w:rPr>
              <w:t>№ 1051</w:t>
            </w:r>
          </w:p>
          <w:p w:rsidR="005B7CC5" w:rsidRPr="009C1132" w:rsidRDefault="005B7CC5" w:rsidP="005B7C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7CC5" w:rsidRPr="009C1132" w:rsidRDefault="005B7CC5" w:rsidP="005B7C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r w:rsidR="005B7CC5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B01D4D" w:rsidRPr="009C1132" w:rsidRDefault="00BD4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466A66" w:rsidP="007A74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1132">
        <w:rPr>
          <w:rFonts w:ascii="Times New Roman" w:hAnsi="Times New Roman"/>
          <w:sz w:val="28"/>
          <w:szCs w:val="28"/>
        </w:rPr>
        <w:t xml:space="preserve">                </w:t>
      </w:r>
      <w:r w:rsidR="00B01D4D" w:rsidRPr="009C113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>
        <w:r w:rsidR="00B01D4D" w:rsidRPr="009C1132">
          <w:rPr>
            <w:rFonts w:ascii="Times New Roman" w:hAnsi="Times New Roman"/>
            <w:sz w:val="28"/>
            <w:szCs w:val="28"/>
          </w:rPr>
          <w:t>статьей 144</w:t>
        </w:r>
      </w:hyperlink>
      <w:r w:rsidR="00B01D4D" w:rsidRPr="009C1132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hyperlink r:id="rId7">
        <w:r w:rsidR="00B01D4D" w:rsidRPr="009C1132">
          <w:rPr>
            <w:rFonts w:ascii="Times New Roman" w:hAnsi="Times New Roman"/>
            <w:sz w:val="28"/>
            <w:szCs w:val="28"/>
          </w:rPr>
          <w:t>частью 2 статьи 1</w:t>
        </w:r>
      </w:hyperlink>
      <w:r w:rsidR="00B01D4D" w:rsidRPr="009C1132">
        <w:rPr>
          <w:rFonts w:ascii="Times New Roman" w:hAnsi="Times New Roman"/>
          <w:sz w:val="28"/>
          <w:szCs w:val="28"/>
        </w:rPr>
        <w:t xml:space="preserve">, </w:t>
      </w:r>
      <w:hyperlink r:id="rId8">
        <w:r w:rsidR="00B01D4D" w:rsidRPr="009C1132">
          <w:rPr>
            <w:rFonts w:ascii="Times New Roman" w:hAnsi="Times New Roman"/>
            <w:sz w:val="28"/>
            <w:szCs w:val="28"/>
          </w:rPr>
          <w:t>частью 1 статьи 2</w:t>
        </w:r>
      </w:hyperlink>
      <w:r w:rsidR="00B01D4D" w:rsidRPr="009C1132">
        <w:rPr>
          <w:rFonts w:ascii="Times New Roman" w:hAnsi="Times New Roman"/>
          <w:sz w:val="28"/>
          <w:szCs w:val="28"/>
        </w:rPr>
        <w:t xml:space="preserve">, </w:t>
      </w:r>
      <w:hyperlink r:id="rId9">
        <w:r w:rsidR="00B01D4D" w:rsidRPr="009C1132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="00B01D4D" w:rsidRPr="009C1132">
        <w:rPr>
          <w:rFonts w:ascii="Times New Roman" w:hAnsi="Times New Roman"/>
          <w:sz w:val="28"/>
          <w:szCs w:val="28"/>
        </w:rPr>
        <w:t xml:space="preserve">, </w:t>
      </w:r>
      <w:hyperlink r:id="rId10">
        <w:r w:rsidR="00B01D4D" w:rsidRPr="009C1132">
          <w:rPr>
            <w:rFonts w:ascii="Times New Roman" w:hAnsi="Times New Roman"/>
            <w:sz w:val="28"/>
            <w:szCs w:val="28"/>
          </w:rPr>
          <w:t>частью 1 статьи 17</w:t>
        </w:r>
      </w:hyperlink>
      <w:r w:rsidR="00B01D4D" w:rsidRPr="009C1132">
        <w:rPr>
          <w:rFonts w:ascii="Times New Roman" w:hAnsi="Times New Roman"/>
          <w:sz w:val="28"/>
          <w:szCs w:val="28"/>
        </w:rPr>
        <w:t xml:space="preserve"> и </w:t>
      </w:r>
      <w:hyperlink r:id="rId11">
        <w:r w:rsidR="00B01D4D" w:rsidRPr="009C1132">
          <w:rPr>
            <w:rFonts w:ascii="Times New Roman" w:hAnsi="Times New Roman"/>
            <w:sz w:val="28"/>
            <w:szCs w:val="28"/>
          </w:rPr>
          <w:t>статьей 18</w:t>
        </w:r>
      </w:hyperlink>
      <w:r w:rsidR="00B01D4D" w:rsidRPr="009C1132">
        <w:rPr>
          <w:rFonts w:ascii="Times New Roman" w:hAnsi="Times New Roman"/>
          <w:sz w:val="28"/>
          <w:szCs w:val="28"/>
        </w:rPr>
        <w:t xml:space="preserve"> </w:t>
      </w:r>
      <w:r w:rsidR="00C624AC" w:rsidRPr="009C1132">
        <w:rPr>
          <w:rFonts w:ascii="Times New Roman" w:hAnsi="Times New Roman"/>
          <w:sz w:val="28"/>
          <w:szCs w:val="28"/>
        </w:rPr>
        <w:t>решения</w:t>
      </w:r>
      <w:r w:rsidR="00235E0E" w:rsidRPr="009C1132">
        <w:rPr>
          <w:rFonts w:ascii="Times New Roman" w:hAnsi="Times New Roman"/>
          <w:sz w:val="28"/>
          <w:szCs w:val="28"/>
        </w:rPr>
        <w:t xml:space="preserve"> Совета Тунгокоченского муниципального округа от 15.02.2024 года № 4 «Об утверждении Положения  «Об оплате  труда работников  учреждений Тунгокоченского муниципального округа»</w:t>
      </w:r>
      <w:r w:rsidR="00C624AC" w:rsidRPr="009C1132">
        <w:rPr>
          <w:rFonts w:ascii="Times New Roman" w:hAnsi="Times New Roman"/>
          <w:sz w:val="28"/>
          <w:szCs w:val="28"/>
        </w:rPr>
        <w:t>,</w:t>
      </w:r>
      <w:r w:rsidR="00C624AC" w:rsidRPr="009C1132">
        <w:rPr>
          <w:rFonts w:ascii="Times New Roman" w:hAnsi="Times New Roman"/>
          <w:noProof/>
          <w:sz w:val="28"/>
          <w:szCs w:val="28"/>
        </w:rPr>
        <w:t xml:space="preserve"> а</w:t>
      </w:r>
      <w:r w:rsidR="007A7424" w:rsidRPr="009C1132">
        <w:rPr>
          <w:rFonts w:ascii="Times New Roman" w:hAnsi="Times New Roman"/>
          <w:noProof/>
          <w:sz w:val="28"/>
          <w:szCs w:val="28"/>
        </w:rPr>
        <w:t>дминистрация  Тунгокоченского муниципального округа</w:t>
      </w:r>
      <w:r w:rsidR="00B01D4D" w:rsidRPr="009C1132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3">
        <w:r w:rsidRPr="009C113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систем оплаты </w:t>
      </w:r>
      <w:r w:rsidR="006E47B5" w:rsidRPr="009C1132">
        <w:rPr>
          <w:rFonts w:ascii="Times New Roman" w:hAnsi="Times New Roman" w:cs="Times New Roman"/>
          <w:sz w:val="28"/>
          <w:szCs w:val="28"/>
        </w:rPr>
        <w:t>труда работников муниципальных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6E47B5" w:rsidRPr="009C1132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2. Установить базовые </w:t>
      </w:r>
      <w:hyperlink w:anchor="P85">
        <w:r w:rsidRPr="009C1132">
          <w:rPr>
            <w:rFonts w:ascii="Times New Roman" w:hAnsi="Times New Roman" w:cs="Times New Roman"/>
            <w:sz w:val="28"/>
            <w:szCs w:val="28"/>
          </w:rPr>
          <w:t>оклады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(базовые должностные оклады), базовые ставки заработной платы по профессиональным квалификационным группам работников</w:t>
      </w:r>
      <w:r w:rsidR="00AE1D14" w:rsidRPr="009C1132">
        <w:rPr>
          <w:rFonts w:ascii="Times New Roman" w:hAnsi="Times New Roman" w:cs="Times New Roman"/>
          <w:sz w:val="28"/>
          <w:szCs w:val="28"/>
        </w:rPr>
        <w:t xml:space="preserve"> муниципальных учреждений 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постановлению.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3. Определить общий </w:t>
      </w:r>
      <w:hyperlink w:anchor="P620">
        <w:r w:rsidRPr="009C113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компенсационных и стимулирующих выплат работникам</w:t>
      </w:r>
      <w:r w:rsidR="00AE1D14" w:rsidRPr="009C1132">
        <w:rPr>
          <w:rFonts w:ascii="Times New Roman" w:hAnsi="Times New Roman" w:cs="Times New Roman"/>
          <w:sz w:val="28"/>
          <w:szCs w:val="28"/>
        </w:rPr>
        <w:t xml:space="preserve"> муниципальных учреждений 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постановлению.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4. Установить </w:t>
      </w:r>
      <w:hyperlink w:anchor="P655">
        <w:r w:rsidRPr="009C113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</w:t>
      </w:r>
      <w:r w:rsidR="008A75BC" w:rsidRPr="009C1132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proofErr w:type="gramEnd"/>
      <w:r w:rsidR="008A75BC" w:rsidRPr="009C1132">
        <w:rPr>
          <w:rFonts w:ascii="Times New Roman" w:hAnsi="Times New Roman" w:cs="Times New Roman"/>
          <w:sz w:val="28"/>
          <w:szCs w:val="28"/>
        </w:rPr>
        <w:t xml:space="preserve"> 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 согласно приложению N 3 к настоящему постановлению.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5. Установить </w:t>
      </w:r>
      <w:hyperlink w:anchor="P677">
        <w:r w:rsidRPr="009C113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о порядке и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AE1D14" w:rsidRPr="009C1132">
        <w:rPr>
          <w:rFonts w:ascii="Times New Roman" w:hAnsi="Times New Roman" w:cs="Times New Roman"/>
          <w:sz w:val="28"/>
          <w:szCs w:val="28"/>
        </w:rPr>
        <w:t>муниципальных учреждений 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, их заместителей и главных бухгалтеров согласно приложению N 4 к настоящему постановлению.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9C113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Установить предельный уровень соотношения среднемесячной </w:t>
      </w:r>
      <w:r w:rsidRPr="009C1132">
        <w:rPr>
          <w:rFonts w:ascii="Times New Roman" w:hAnsi="Times New Roman" w:cs="Times New Roman"/>
          <w:sz w:val="28"/>
          <w:szCs w:val="28"/>
        </w:rPr>
        <w:lastRenderedPageBreak/>
        <w:t>заработной платы руководителей</w:t>
      </w:r>
      <w:r w:rsidR="00D43617" w:rsidRPr="009C1132">
        <w:rPr>
          <w:rFonts w:ascii="Times New Roman" w:hAnsi="Times New Roman" w:cs="Times New Roman"/>
          <w:sz w:val="28"/>
          <w:szCs w:val="28"/>
        </w:rPr>
        <w:t xml:space="preserve"> муниципальных учреждений 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, их заместителей и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D43617" w:rsidRPr="009C1132">
        <w:rPr>
          <w:rFonts w:ascii="Times New Roman" w:hAnsi="Times New Roman" w:cs="Times New Roman"/>
          <w:sz w:val="28"/>
          <w:szCs w:val="28"/>
        </w:rPr>
        <w:t xml:space="preserve">муниципальных учреждений  Тунгокоченского муниципального округа </w:t>
      </w:r>
      <w:r w:rsidRPr="009C1132">
        <w:rPr>
          <w:rFonts w:ascii="Times New Roman" w:hAnsi="Times New Roman" w:cs="Times New Roman"/>
          <w:sz w:val="28"/>
          <w:szCs w:val="28"/>
        </w:rPr>
        <w:t>(без учета заработной платы соответствующего руководителя, его заместителей, главного бухгалтера) согласно следующим условиям:</w:t>
      </w:r>
      <w:proofErr w:type="gramEnd"/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в размере кратности до 3,5 - при штатной численности работников </w:t>
      </w:r>
      <w:r w:rsidR="00D43617" w:rsidRPr="009C1132">
        <w:rPr>
          <w:rFonts w:ascii="Times New Roman" w:hAnsi="Times New Roman" w:cs="Times New Roman"/>
          <w:sz w:val="28"/>
          <w:szCs w:val="28"/>
        </w:rPr>
        <w:t xml:space="preserve">муниципальных учреждений  Тунгокоченского муниципального округа </w:t>
      </w:r>
      <w:r w:rsidRPr="009C1132">
        <w:rPr>
          <w:rFonts w:ascii="Times New Roman" w:hAnsi="Times New Roman" w:cs="Times New Roman"/>
          <w:sz w:val="28"/>
          <w:szCs w:val="28"/>
        </w:rPr>
        <w:t xml:space="preserve">до 100 человек с учетом объема деятельности </w:t>
      </w:r>
      <w:r w:rsidR="00195608" w:rsidRPr="009C1132">
        <w:rPr>
          <w:rFonts w:ascii="Times New Roman" w:hAnsi="Times New Roman" w:cs="Times New Roman"/>
          <w:sz w:val="28"/>
          <w:szCs w:val="28"/>
        </w:rPr>
        <w:t>муниципальных учреждений 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, численности получателей услуг;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в размере кратности до 4,5 - при наличии в основных видах деятельности </w:t>
      </w:r>
      <w:r w:rsidR="00195608" w:rsidRPr="009C1132">
        <w:rPr>
          <w:rFonts w:ascii="Times New Roman" w:hAnsi="Times New Roman" w:cs="Times New Roman"/>
          <w:sz w:val="28"/>
          <w:szCs w:val="28"/>
        </w:rPr>
        <w:t xml:space="preserve">муниципального учреждения  Тунгокоченского муниципального округа </w:t>
      </w:r>
      <w:r w:rsidRPr="009C1132">
        <w:rPr>
          <w:rFonts w:ascii="Times New Roman" w:hAnsi="Times New Roman" w:cs="Times New Roman"/>
          <w:sz w:val="28"/>
          <w:szCs w:val="28"/>
        </w:rPr>
        <w:t>края вида деятельности в области культуры, спорта, организации досуга и развлечений;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в размере кратности до 5,5 - при наличии в должностных обязанностях руководителя </w:t>
      </w:r>
      <w:r w:rsidR="00F1406A" w:rsidRPr="009C1132">
        <w:rPr>
          <w:rFonts w:ascii="Times New Roman" w:hAnsi="Times New Roman" w:cs="Times New Roman"/>
          <w:sz w:val="28"/>
          <w:szCs w:val="28"/>
        </w:rPr>
        <w:t xml:space="preserve">муниципального учреждения Тунгокоченского муниципального округа </w:t>
      </w:r>
      <w:r w:rsidRPr="009C1132">
        <w:rPr>
          <w:rFonts w:ascii="Times New Roman" w:hAnsi="Times New Roman" w:cs="Times New Roman"/>
          <w:sz w:val="28"/>
          <w:szCs w:val="28"/>
        </w:rPr>
        <w:t xml:space="preserve"> ответственности за жизнь и здоровье получателей услуг;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в размере кратности до 6,5 - при наличии в должностных обязанностях руководителя </w:t>
      </w:r>
      <w:r w:rsidR="00E5158D" w:rsidRPr="009C1132">
        <w:rPr>
          <w:rFonts w:ascii="Times New Roman" w:hAnsi="Times New Roman" w:cs="Times New Roman"/>
          <w:sz w:val="28"/>
          <w:szCs w:val="28"/>
        </w:rPr>
        <w:t xml:space="preserve">муниципального учреждения  Тунгокоченского муниципального округа </w:t>
      </w:r>
      <w:r w:rsidRPr="009C1132">
        <w:rPr>
          <w:rFonts w:ascii="Times New Roman" w:hAnsi="Times New Roman" w:cs="Times New Roman"/>
          <w:sz w:val="28"/>
          <w:szCs w:val="28"/>
        </w:rPr>
        <w:t xml:space="preserve"> ответственности за жизнь и здоровье получателей услуг при условии круглосуточного их нахождения в</w:t>
      </w:r>
      <w:r w:rsidR="00E5158D" w:rsidRPr="009C1132">
        <w:rPr>
          <w:rFonts w:ascii="Times New Roman" w:hAnsi="Times New Roman" w:cs="Times New Roman"/>
          <w:sz w:val="28"/>
          <w:szCs w:val="28"/>
        </w:rPr>
        <w:t xml:space="preserve"> муниципальном учреждении 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 в период временного, длительного или постоянного пребывания.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7. Установить, что заработная плата работников</w:t>
      </w:r>
      <w:r w:rsidR="00C50AC5" w:rsidRPr="009C1132">
        <w:rPr>
          <w:rFonts w:ascii="Times New Roman" w:hAnsi="Times New Roman" w:cs="Times New Roman"/>
          <w:sz w:val="28"/>
          <w:szCs w:val="28"/>
        </w:rPr>
        <w:t xml:space="preserve"> муниципальных учреждений 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, устанавливаемая в соответствии с изменениями, предусмотренными настоящим постановлением, не может быть меньше заработной платы, выплачиваемой до вступления в силу настоящего постановления, при условии сохранения объема должностных обязанностей и выполнения работ той же квалификации.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8. Осуществить финансовое обеспечение расходных обязательств </w:t>
      </w:r>
      <w:r w:rsidR="007E26E2" w:rsidRPr="009C113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, связанных с реализацией настоящего постановления в пределах соответствующих лимитов бюджетных обязательств бюджета </w:t>
      </w:r>
      <w:r w:rsidR="007E26E2" w:rsidRPr="009C113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9. </w:t>
      </w:r>
      <w:r w:rsidR="00D6174A" w:rsidRPr="009C1132">
        <w:rPr>
          <w:rFonts w:ascii="Times New Roman" w:hAnsi="Times New Roman" w:cs="Times New Roman"/>
          <w:sz w:val="28"/>
          <w:szCs w:val="28"/>
        </w:rPr>
        <w:t>К</w:t>
      </w:r>
      <w:r w:rsidR="00C624AC" w:rsidRPr="009C1132">
        <w:rPr>
          <w:rFonts w:ascii="Times New Roman" w:hAnsi="Times New Roman" w:cs="Times New Roman"/>
          <w:sz w:val="28"/>
          <w:szCs w:val="28"/>
        </w:rPr>
        <w:t xml:space="preserve">омитетам </w:t>
      </w:r>
      <w:r w:rsidR="00D6174A" w:rsidRPr="009C1132">
        <w:rPr>
          <w:rFonts w:ascii="Times New Roman" w:hAnsi="Times New Roman" w:cs="Times New Roman"/>
          <w:sz w:val="28"/>
          <w:szCs w:val="28"/>
        </w:rPr>
        <w:t xml:space="preserve"> администрации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, на которые возложены координация и регулирование деятельности соответствующих отраслей и (или) которые осуществляют функции и </w:t>
      </w:r>
      <w:r w:rsidRPr="009C1132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учредителей </w:t>
      </w:r>
      <w:r w:rsidR="00D6174A" w:rsidRPr="009C1132">
        <w:rPr>
          <w:rFonts w:ascii="Times New Roman" w:hAnsi="Times New Roman" w:cs="Times New Roman"/>
          <w:sz w:val="28"/>
          <w:szCs w:val="28"/>
        </w:rPr>
        <w:t xml:space="preserve">муниципальных учреждений Тунгокоченского муниципального округа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постановления:</w:t>
      </w:r>
    </w:p>
    <w:p w:rsidR="00B01D4D" w:rsidRPr="009C1132" w:rsidRDefault="00F803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1) разработать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 примерные положения об оплате труда работников </w:t>
      </w:r>
      <w:r w:rsidR="00894CA5" w:rsidRPr="009C1132">
        <w:rPr>
          <w:rFonts w:ascii="Times New Roman" w:hAnsi="Times New Roman" w:cs="Times New Roman"/>
          <w:sz w:val="28"/>
          <w:szCs w:val="28"/>
        </w:rPr>
        <w:t>муниципальных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213666" w:rsidRPr="009C113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 соответствующих отраслей</w:t>
      </w:r>
      <w:r w:rsidR="00F403C8" w:rsidRPr="009C1132">
        <w:rPr>
          <w:rFonts w:ascii="Times New Roman" w:hAnsi="Times New Roman" w:cs="Times New Roman"/>
          <w:sz w:val="28"/>
          <w:szCs w:val="28"/>
        </w:rPr>
        <w:t>, определяющим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 перспективные направления развития и осуществляющим управление в сфере трудовых отношений;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2) привести правовые акты по вопросам оплаты труда работников </w:t>
      </w:r>
      <w:r w:rsidR="00815A8C" w:rsidRPr="009C1132">
        <w:rPr>
          <w:rFonts w:ascii="Times New Roman" w:hAnsi="Times New Roman" w:cs="Times New Roman"/>
          <w:sz w:val="28"/>
          <w:szCs w:val="28"/>
        </w:rPr>
        <w:t xml:space="preserve">муниципальных учреждений Тунгокоченского муниципального округа </w:t>
      </w:r>
      <w:r w:rsidRPr="009C1132">
        <w:rPr>
          <w:rFonts w:ascii="Times New Roman" w:hAnsi="Times New Roman" w:cs="Times New Roman"/>
          <w:sz w:val="28"/>
          <w:szCs w:val="28"/>
        </w:rPr>
        <w:t xml:space="preserve"> в соответствие с настоящим постановлением;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3) организовать разработку и принятие подведомственными </w:t>
      </w:r>
      <w:r w:rsidR="00C1395B" w:rsidRPr="009C1132">
        <w:rPr>
          <w:rFonts w:ascii="Times New Roman" w:hAnsi="Times New Roman" w:cs="Times New Roman"/>
          <w:sz w:val="28"/>
          <w:szCs w:val="28"/>
        </w:rPr>
        <w:t>муниципальными</w:t>
      </w:r>
      <w:r w:rsidR="00815A8C" w:rsidRPr="009C113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1395B" w:rsidRPr="009C1132">
        <w:rPr>
          <w:rFonts w:ascii="Times New Roman" w:hAnsi="Times New Roman" w:cs="Times New Roman"/>
          <w:sz w:val="28"/>
          <w:szCs w:val="28"/>
        </w:rPr>
        <w:t>ями</w:t>
      </w:r>
      <w:r w:rsidR="00815A8C" w:rsidRPr="009C1132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 </w:t>
      </w:r>
      <w:r w:rsidRPr="009C1132">
        <w:rPr>
          <w:rFonts w:ascii="Times New Roman" w:hAnsi="Times New Roman" w:cs="Times New Roman"/>
          <w:sz w:val="28"/>
          <w:szCs w:val="28"/>
        </w:rPr>
        <w:t>локальных нормативных актов, устанавливающих системы оплаты труда работников</w:t>
      </w:r>
      <w:r w:rsidR="00C1395B" w:rsidRPr="009C1132">
        <w:rPr>
          <w:rFonts w:ascii="Times New Roman" w:hAnsi="Times New Roman" w:cs="Times New Roman"/>
          <w:sz w:val="28"/>
          <w:szCs w:val="28"/>
        </w:rPr>
        <w:t xml:space="preserve"> муниципальных учреждений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.</w:t>
      </w:r>
    </w:p>
    <w:p w:rsidR="003D31CF" w:rsidRPr="009C1132" w:rsidRDefault="00B01D4D" w:rsidP="001E48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10. </w:t>
      </w:r>
      <w:r w:rsidR="001E48CA" w:rsidRPr="009C1132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и отдельные положения постановлений </w:t>
      </w:r>
      <w:r w:rsidR="00265676" w:rsidRPr="009C1132">
        <w:rPr>
          <w:rFonts w:ascii="Times New Roman" w:hAnsi="Times New Roman" w:cs="Times New Roman"/>
          <w:sz w:val="28"/>
          <w:szCs w:val="28"/>
        </w:rPr>
        <w:t>а</w:t>
      </w:r>
      <w:r w:rsidR="00634FDA" w:rsidRPr="009C1132">
        <w:rPr>
          <w:rFonts w:ascii="Times New Roman" w:hAnsi="Times New Roman" w:cs="Times New Roman"/>
          <w:sz w:val="28"/>
          <w:szCs w:val="28"/>
        </w:rPr>
        <w:t>дминистрац</w:t>
      </w:r>
      <w:r w:rsidR="009D090C" w:rsidRPr="009C1132">
        <w:rPr>
          <w:rFonts w:ascii="Times New Roman" w:hAnsi="Times New Roman" w:cs="Times New Roman"/>
          <w:sz w:val="28"/>
          <w:szCs w:val="28"/>
        </w:rPr>
        <w:t>ии муниципального района «</w:t>
      </w:r>
      <w:proofErr w:type="spellStart"/>
      <w:r w:rsidR="009D090C" w:rsidRPr="009C1132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9D090C" w:rsidRPr="009C113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E48CA" w:rsidRPr="009C113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700">
        <w:r w:rsidR="001E48CA" w:rsidRPr="009C1132">
          <w:rPr>
            <w:rFonts w:ascii="Times New Roman" w:hAnsi="Times New Roman" w:cs="Times New Roman"/>
            <w:sz w:val="28"/>
            <w:szCs w:val="28"/>
          </w:rPr>
          <w:t>приложению N 5</w:t>
        </w:r>
      </w:hyperlink>
      <w:r w:rsidR="001E48CA" w:rsidRPr="009C113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C5F38" w:rsidRPr="009C1132" w:rsidRDefault="007E59A4" w:rsidP="007C5F38">
      <w:pPr>
        <w:pStyle w:val="a3"/>
        <w:tabs>
          <w:tab w:val="left" w:pos="1805"/>
        </w:tabs>
        <w:spacing w:line="237" w:lineRule="auto"/>
        <w:ind w:left="0" w:right="103" w:firstLine="0"/>
        <w:rPr>
          <w:noProof/>
          <w:sz w:val="28"/>
          <w:szCs w:val="28"/>
        </w:rPr>
      </w:pPr>
      <w:r w:rsidRPr="009C1132">
        <w:rPr>
          <w:sz w:val="28"/>
          <w:szCs w:val="28"/>
        </w:rPr>
        <w:t xml:space="preserve">       11</w:t>
      </w:r>
      <w:r w:rsidR="007C5F38" w:rsidRPr="009C1132">
        <w:rPr>
          <w:sz w:val="28"/>
          <w:szCs w:val="28"/>
        </w:rPr>
        <w:t>.</w:t>
      </w:r>
      <w:r w:rsidRPr="009C1132">
        <w:rPr>
          <w:sz w:val="28"/>
          <w:szCs w:val="28"/>
        </w:rPr>
        <w:t xml:space="preserve"> </w:t>
      </w:r>
      <w:r w:rsidR="007C5F38" w:rsidRPr="009C1132">
        <w:rPr>
          <w:sz w:val="28"/>
          <w:szCs w:val="28"/>
        </w:rPr>
        <w:t>Настоящее</w:t>
      </w:r>
      <w:r w:rsidR="007C5F38" w:rsidRPr="009C1132">
        <w:rPr>
          <w:spacing w:val="1"/>
          <w:sz w:val="28"/>
          <w:szCs w:val="28"/>
        </w:rPr>
        <w:t xml:space="preserve"> </w:t>
      </w:r>
      <w:r w:rsidR="007C5F38" w:rsidRPr="009C1132">
        <w:rPr>
          <w:sz w:val="28"/>
          <w:szCs w:val="28"/>
        </w:rPr>
        <w:t>постановление</w:t>
      </w:r>
      <w:r w:rsidR="007C5F38" w:rsidRPr="009C1132">
        <w:rPr>
          <w:spacing w:val="1"/>
          <w:sz w:val="28"/>
          <w:szCs w:val="28"/>
        </w:rPr>
        <w:t xml:space="preserve"> </w:t>
      </w:r>
      <w:r w:rsidR="007C5F38" w:rsidRPr="009C1132">
        <w:rPr>
          <w:sz w:val="28"/>
          <w:szCs w:val="28"/>
        </w:rPr>
        <w:t>вступает</w:t>
      </w:r>
      <w:r w:rsidR="007C5F38" w:rsidRPr="009C1132">
        <w:rPr>
          <w:spacing w:val="1"/>
          <w:sz w:val="28"/>
          <w:szCs w:val="28"/>
        </w:rPr>
        <w:t xml:space="preserve"> </w:t>
      </w:r>
      <w:r w:rsidR="007C5F38" w:rsidRPr="009C1132">
        <w:rPr>
          <w:sz w:val="28"/>
          <w:szCs w:val="28"/>
        </w:rPr>
        <w:t>в</w:t>
      </w:r>
      <w:r w:rsidR="007C5F38" w:rsidRPr="009C1132">
        <w:rPr>
          <w:spacing w:val="1"/>
          <w:sz w:val="28"/>
          <w:szCs w:val="28"/>
        </w:rPr>
        <w:t xml:space="preserve"> </w:t>
      </w:r>
      <w:r w:rsidR="007C5F38" w:rsidRPr="009C1132">
        <w:rPr>
          <w:sz w:val="28"/>
          <w:szCs w:val="28"/>
        </w:rPr>
        <w:t>силу</w:t>
      </w:r>
      <w:r w:rsidR="007C5F38" w:rsidRPr="009C1132">
        <w:rPr>
          <w:spacing w:val="1"/>
          <w:sz w:val="28"/>
          <w:szCs w:val="28"/>
        </w:rPr>
        <w:t xml:space="preserve"> </w:t>
      </w:r>
      <w:r w:rsidR="007C5F38" w:rsidRPr="009C1132">
        <w:rPr>
          <w:sz w:val="28"/>
          <w:szCs w:val="28"/>
        </w:rPr>
        <w:t>с</w:t>
      </w:r>
      <w:r w:rsidR="007C5F38" w:rsidRPr="009C1132">
        <w:rPr>
          <w:spacing w:val="5"/>
          <w:sz w:val="28"/>
          <w:szCs w:val="28"/>
        </w:rPr>
        <w:t xml:space="preserve"> </w:t>
      </w:r>
      <w:r w:rsidR="007C5F38" w:rsidRPr="009C1132">
        <w:rPr>
          <w:sz w:val="28"/>
          <w:szCs w:val="28"/>
        </w:rPr>
        <w:t>1</w:t>
      </w:r>
      <w:r w:rsidR="007C5F38" w:rsidRPr="009C1132">
        <w:rPr>
          <w:spacing w:val="-2"/>
          <w:sz w:val="28"/>
          <w:szCs w:val="28"/>
        </w:rPr>
        <w:t xml:space="preserve"> </w:t>
      </w:r>
      <w:r w:rsidR="00F07D3E" w:rsidRPr="009C1132">
        <w:rPr>
          <w:sz w:val="28"/>
          <w:szCs w:val="28"/>
        </w:rPr>
        <w:t>января</w:t>
      </w:r>
      <w:r w:rsidR="007C5F38" w:rsidRPr="009C1132">
        <w:rPr>
          <w:spacing w:val="10"/>
          <w:sz w:val="28"/>
          <w:szCs w:val="28"/>
        </w:rPr>
        <w:t xml:space="preserve"> </w:t>
      </w:r>
      <w:r w:rsidR="007C5F38" w:rsidRPr="009C1132">
        <w:rPr>
          <w:sz w:val="28"/>
          <w:szCs w:val="28"/>
        </w:rPr>
        <w:t>202</w:t>
      </w:r>
      <w:r w:rsidR="00F07D3E" w:rsidRPr="009C1132">
        <w:rPr>
          <w:sz w:val="28"/>
          <w:szCs w:val="28"/>
        </w:rPr>
        <w:t>5</w:t>
      </w:r>
      <w:r w:rsidR="007C5F38" w:rsidRPr="009C1132">
        <w:rPr>
          <w:spacing w:val="9"/>
          <w:sz w:val="28"/>
          <w:szCs w:val="28"/>
        </w:rPr>
        <w:t xml:space="preserve"> </w:t>
      </w:r>
      <w:r w:rsidR="007C5F38" w:rsidRPr="009C1132">
        <w:rPr>
          <w:sz w:val="28"/>
          <w:szCs w:val="28"/>
        </w:rPr>
        <w:t>года.</w:t>
      </w:r>
    </w:p>
    <w:p w:rsidR="005F6FE5" w:rsidRPr="009C1132" w:rsidRDefault="007C5F38" w:rsidP="002656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      </w:t>
      </w:r>
      <w:r w:rsidR="007E59A4" w:rsidRPr="009C1132">
        <w:rPr>
          <w:rFonts w:ascii="Times New Roman" w:hAnsi="Times New Roman" w:cs="Times New Roman"/>
          <w:sz w:val="28"/>
          <w:szCs w:val="28"/>
        </w:rPr>
        <w:t xml:space="preserve"> 12</w:t>
      </w:r>
      <w:r w:rsidRPr="009C113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«Вести Севера» и разместить на официальном сайте администрации Тунгокоченского муниципального округа в информационно-телекоммуникационной сети «Интернет».</w:t>
      </w:r>
    </w:p>
    <w:p w:rsidR="00265676" w:rsidRPr="009C1132" w:rsidRDefault="00265676" w:rsidP="002656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676" w:rsidRPr="009C1132" w:rsidRDefault="00265676" w:rsidP="002656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676" w:rsidRPr="009C1132" w:rsidRDefault="00265676" w:rsidP="002656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FE5" w:rsidRPr="009C1132" w:rsidRDefault="005F6FE5" w:rsidP="005F6F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Глава Тунгокоченского,</w:t>
      </w:r>
    </w:p>
    <w:p w:rsidR="005F6FE5" w:rsidRPr="009C1132" w:rsidRDefault="005F6FE5" w:rsidP="005F6F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муниципального округа        </w:t>
      </w:r>
      <w:r w:rsidR="0019127B" w:rsidRPr="009C1132">
        <w:rPr>
          <w:rFonts w:ascii="Times New Roman" w:hAnsi="Times New Roman" w:cs="Times New Roman"/>
          <w:sz w:val="28"/>
          <w:szCs w:val="28"/>
        </w:rPr>
        <w:t xml:space="preserve">    </w:t>
      </w:r>
      <w:r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9714B9" w:rsidRPr="009C11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C113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C1132">
        <w:rPr>
          <w:rFonts w:ascii="Times New Roman" w:hAnsi="Times New Roman" w:cs="Times New Roman"/>
          <w:sz w:val="28"/>
          <w:szCs w:val="28"/>
        </w:rPr>
        <w:t>Н.С.Ананенко</w:t>
      </w:r>
      <w:proofErr w:type="spellEnd"/>
    </w:p>
    <w:p w:rsidR="00B01D4D" w:rsidRPr="009C1132" w:rsidRDefault="00B01D4D" w:rsidP="005F6F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 w:rsidP="005F6F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FE5" w:rsidRPr="009C1132" w:rsidRDefault="005F6F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84" w:rsidRPr="009C1132" w:rsidRDefault="00CB5D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84" w:rsidRPr="009C1132" w:rsidRDefault="00CB5D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84" w:rsidRPr="009C1132" w:rsidRDefault="00CB5D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84" w:rsidRPr="009C1132" w:rsidRDefault="00CB5D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84" w:rsidRPr="009C1132" w:rsidRDefault="00CB5D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84" w:rsidRPr="009C1132" w:rsidRDefault="00CB5D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84" w:rsidRPr="009C1132" w:rsidRDefault="00CB5D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84" w:rsidRPr="009C1132" w:rsidRDefault="00CB5D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84" w:rsidRPr="009C1132" w:rsidRDefault="00CB5D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5D84" w:rsidRPr="009C1132" w:rsidRDefault="00CB5D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01D4D" w:rsidRPr="009C1132" w:rsidRDefault="00B01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65676" w:rsidRPr="009C1132">
        <w:rPr>
          <w:rFonts w:ascii="Times New Roman" w:hAnsi="Times New Roman" w:cs="Times New Roman"/>
          <w:sz w:val="28"/>
          <w:szCs w:val="28"/>
        </w:rPr>
        <w:t>а</w:t>
      </w:r>
      <w:r w:rsidR="004D0409" w:rsidRPr="009C113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01D4D" w:rsidRPr="009C1132" w:rsidRDefault="004D0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B01D4D" w:rsidRPr="009C1132" w:rsidRDefault="00265676" w:rsidP="00DC55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от  27.12.2024 г. N 1051</w:t>
      </w:r>
    </w:p>
    <w:p w:rsidR="00DC55E4" w:rsidRPr="009C1132" w:rsidRDefault="00DC55E4" w:rsidP="00DC55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 w:rsidRPr="009C113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132">
        <w:rPr>
          <w:rFonts w:ascii="Times New Roman" w:hAnsi="Times New Roman" w:cs="Times New Roman"/>
          <w:b w:val="0"/>
          <w:sz w:val="28"/>
          <w:szCs w:val="28"/>
        </w:rPr>
        <w:t>ОБ УСТАНОВЛЕНИИ СИСТЕМ ОПЛАТЫ ТРУДА РАБОТНИКОВ</w:t>
      </w:r>
    </w:p>
    <w:p w:rsidR="00B01D4D" w:rsidRPr="009C1132" w:rsidRDefault="004D04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13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B01D4D" w:rsidRPr="009C1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b w:val="0"/>
          <w:sz w:val="28"/>
          <w:szCs w:val="28"/>
        </w:rPr>
        <w:t>УЧРЕЖДЕНИЙ ТУНГОКОЧЕНСКОГО МУНИЦИПАЛЬНОГО ОКРУГА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общие условия и порядок оплаты труда работников </w:t>
      </w:r>
      <w:r w:rsidR="00D35274" w:rsidRPr="009C1132">
        <w:rPr>
          <w:rFonts w:ascii="Times New Roman" w:hAnsi="Times New Roman" w:cs="Times New Roman"/>
          <w:sz w:val="28"/>
          <w:szCs w:val="28"/>
        </w:rPr>
        <w:t>муниципальных учреждений Тунгокоченского муниципального округа  (дал</w:t>
      </w:r>
      <w:r w:rsidR="00FE670F" w:rsidRPr="009C1132">
        <w:rPr>
          <w:rFonts w:ascii="Times New Roman" w:hAnsi="Times New Roman" w:cs="Times New Roman"/>
          <w:sz w:val="28"/>
          <w:szCs w:val="28"/>
        </w:rPr>
        <w:t>ее - муниципальные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учреждения).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Систе</w:t>
      </w:r>
      <w:r w:rsidR="00D35274" w:rsidRPr="009C1132">
        <w:rPr>
          <w:rFonts w:ascii="Times New Roman" w:hAnsi="Times New Roman" w:cs="Times New Roman"/>
          <w:sz w:val="28"/>
          <w:szCs w:val="28"/>
        </w:rPr>
        <w:t>мы оплат</w:t>
      </w:r>
      <w:r w:rsidR="00FE670F" w:rsidRPr="009C1132">
        <w:rPr>
          <w:rFonts w:ascii="Times New Roman" w:hAnsi="Times New Roman" w:cs="Times New Roman"/>
          <w:sz w:val="28"/>
          <w:szCs w:val="28"/>
        </w:rPr>
        <w:t xml:space="preserve">ы труда работников 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учреждений, которые включают в себя оклады (должностные оклады), ставки заработной платы, компенсационные и стимулирующие, гарантированные доплаты,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законами и иными нормативными правовыми актами Забайкальского края, </w:t>
      </w:r>
      <w:r w:rsidR="009E4147" w:rsidRPr="009C113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Тунгокоченского муниципального округа  </w:t>
      </w:r>
      <w:r w:rsidR="00797194" w:rsidRPr="009C1132">
        <w:rPr>
          <w:rFonts w:ascii="Times New Roman" w:hAnsi="Times New Roman" w:cs="Times New Roman"/>
          <w:sz w:val="28"/>
          <w:szCs w:val="28"/>
        </w:rPr>
        <w:t xml:space="preserve"> и </w:t>
      </w:r>
      <w:r w:rsidRPr="009C1132">
        <w:rPr>
          <w:rFonts w:ascii="Times New Roman" w:hAnsi="Times New Roman" w:cs="Times New Roman"/>
          <w:sz w:val="28"/>
          <w:szCs w:val="28"/>
        </w:rPr>
        <w:t>настоящим постановлением.</w:t>
      </w:r>
      <w:proofErr w:type="gramEnd"/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3. Системы оплаты труда работников </w:t>
      </w:r>
      <w:r w:rsidR="00FE670F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>учреждений устанавливаются и изменяются с учетом: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единого тарифно-квалификационного </w:t>
      </w:r>
      <w:hyperlink r:id="rId12">
        <w:r w:rsidRPr="009C1132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работ и профессий рабочих и единого квалификационного </w:t>
      </w:r>
      <w:hyperlink r:id="rId13">
        <w:r w:rsidRPr="009C1132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или профессиональных стандартов;</w:t>
      </w:r>
      <w:proofErr w:type="gramEnd"/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обеспечения государственных гарантий по оплате труда, в том числе с учетом правовых позиций Конституционного Суда Российской Федерации, а также утверждаемых Правительством Российской Федерации требований к системам оплаты труда работников государственных и муниципальных учреждений;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и критериев отнесения профессий рабочих и должностей служащих к профессиональным квалификационным группам, утверждаемых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труда;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общего перечня компенсационных и стимулирующих выплат работникам </w:t>
      </w:r>
      <w:r w:rsidR="00FE670F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97194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lastRenderedPageBreak/>
        <w:t>примерных положений об оплате труда работников</w:t>
      </w:r>
      <w:r w:rsidR="00797194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B05D69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>учреждений соответствующих отраслей;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положений об оплате труда работников </w:t>
      </w:r>
      <w:r w:rsidR="00B05D69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>учреждений, утверждаемых локальными нормативными актами</w:t>
      </w:r>
      <w:r w:rsidR="00B05D69" w:rsidRPr="009C113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учреждений, с учетом примерных положений об оплате труда работников</w:t>
      </w:r>
      <w:r w:rsidR="00B05D69" w:rsidRPr="009C113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соответствующих отраслей;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разработанных Российской трехсторонней комиссией по регулированию социально-трудовых отношений;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мнения соответствующих профсоюзов (объединений профсоюзов) или представительного органа работников и объединений работодателей.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4</w:t>
      </w:r>
      <w:r w:rsidR="00450856" w:rsidRPr="009C11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553D" w:rsidRPr="009C1132">
        <w:rPr>
          <w:rFonts w:ascii="Times New Roman" w:hAnsi="Times New Roman" w:cs="Times New Roman"/>
          <w:sz w:val="28"/>
          <w:szCs w:val="28"/>
        </w:rPr>
        <w:t>Комитеты  администрации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</w:t>
      </w:r>
      <w:r w:rsidR="00B05D69" w:rsidRPr="009C113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EA553D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учреждений, устанавливают в примерных положениях об оплате труда работников</w:t>
      </w:r>
      <w:r w:rsidR="00EA553D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B05D69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соответствующих отраслей рекомендуемые размеры окладов (должностных окладов) работников</w:t>
      </w:r>
      <w:r w:rsidR="00EA553D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B05D69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в размере не ниже базовых окладов (базовых должностных окладов) по профессиональным квалификационным группам работников </w:t>
      </w:r>
      <w:r w:rsidR="00570F32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A553D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>,</w:t>
      </w:r>
      <w:r w:rsidR="008D053C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2F4E02" w:rsidRPr="009C1132">
        <w:rPr>
          <w:rFonts w:ascii="Times New Roman" w:hAnsi="Times New Roman" w:cs="Times New Roman"/>
          <w:sz w:val="28"/>
          <w:szCs w:val="28"/>
        </w:rPr>
        <w:t xml:space="preserve"> администрацией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, и с учетом обеспечения их дифференциации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5. Рекомендуемые размеры окладов (должностных окладов) работников</w:t>
      </w:r>
      <w:r w:rsidR="00570F32" w:rsidRPr="009C113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2F4E02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в повышенном размере по сравнению с базовыми окладами (базовыми должностными окладами) по профессиональным квалификационным группам могут устанавливаться с применением надбавок и коэффициентов, повышающих их размер.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6. По должностям служащих, профессиям рабочих, не включенным в профессиональные квалификационные группы, рекомендуемые размеры окладов (должностных окладов) работников </w:t>
      </w:r>
      <w:r w:rsidR="00570F32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устанавливаются с учетом обеспечения их дифференциации в зависимости от сложности труда.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 работников</w:t>
      </w:r>
      <w:r w:rsidR="00570F32" w:rsidRPr="009C113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>учреждений устанавливаются локальными нормативными актами</w:t>
      </w:r>
      <w:r w:rsidR="00570F32" w:rsidRPr="009C113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2A6E71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sz w:val="28"/>
          <w:szCs w:val="28"/>
        </w:rPr>
        <w:t xml:space="preserve">учреждений в соответствии с трудовым законодательством и иными нормативными правовыми актами, </w:t>
      </w:r>
      <w:r w:rsidRPr="009C1132">
        <w:rPr>
          <w:rFonts w:ascii="Times New Roman" w:hAnsi="Times New Roman" w:cs="Times New Roman"/>
          <w:sz w:val="28"/>
          <w:szCs w:val="28"/>
        </w:rPr>
        <w:lastRenderedPageBreak/>
        <w:t>содержащими нормы трудового права, и не могут быть ниже рекомендуемых размеров окладов (должностных окладов) работников</w:t>
      </w:r>
      <w:r w:rsidR="00570F32" w:rsidRPr="009C113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2A6E71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sz w:val="28"/>
          <w:szCs w:val="28"/>
        </w:rPr>
        <w:t xml:space="preserve">учреждений, устанавливаемых в примерных положениях об оплате труда работников </w:t>
      </w:r>
      <w:r w:rsidR="002A41BD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>учреждений соответствующих отраслей, и рассчитываемых ставок заработной платы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D3300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2A41BD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согласно </w:t>
      </w:r>
      <w:hyperlink w:anchor="P90">
        <w:r w:rsidRPr="009C1132">
          <w:rPr>
            <w:rFonts w:ascii="Times New Roman" w:hAnsi="Times New Roman" w:cs="Times New Roman"/>
            <w:sz w:val="28"/>
            <w:szCs w:val="28"/>
          </w:rPr>
          <w:t>пункту 1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приложения N 1 к настоящему постановлению.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8. При увеличении (индексации) окладов (должностных окладов), ставок заработной платы работников </w:t>
      </w:r>
      <w:r w:rsidR="002A41BD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их размеры подлежат округлению до целого рубля в сторону увеличения.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9. Перечни компенсационных и стимулирующих выплат работникам</w:t>
      </w:r>
      <w:r w:rsidR="002A41BD" w:rsidRPr="009C113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377E00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по отдельным отраслям деятельности, их размеры и порядок установления определяются </w:t>
      </w:r>
      <w:r w:rsidR="00B77244" w:rsidRPr="009C1132">
        <w:rPr>
          <w:rFonts w:ascii="Times New Roman" w:hAnsi="Times New Roman" w:cs="Times New Roman"/>
          <w:sz w:val="28"/>
          <w:szCs w:val="28"/>
        </w:rPr>
        <w:t>комитетами  администрации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, на которые возложены координация и регулирование деятельности соответствующих отраслей и (или) которые осуществляют функции </w:t>
      </w:r>
      <w:r w:rsidR="00450856" w:rsidRPr="009C1132">
        <w:rPr>
          <w:rFonts w:ascii="Times New Roman" w:hAnsi="Times New Roman" w:cs="Times New Roman"/>
          <w:sz w:val="28"/>
          <w:szCs w:val="28"/>
        </w:rPr>
        <w:t>и полномочия учредителей муниципальных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Размеры компенсационных выплат работникам</w:t>
      </w:r>
      <w:r w:rsidR="00631FF3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2A41BD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учреждений, 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законодательством, </w:t>
      </w:r>
      <w:r w:rsidR="00A05358" w:rsidRPr="009C1132">
        <w:rPr>
          <w:rFonts w:ascii="Times New Roman" w:hAnsi="Times New Roman" w:cs="Times New Roman"/>
          <w:sz w:val="28"/>
          <w:szCs w:val="28"/>
        </w:rPr>
        <w:t>нормативными правовыми актами Тунгокоченского муниципального округа</w:t>
      </w:r>
      <w:r w:rsidR="00630E6A" w:rsidRPr="009C1132">
        <w:rPr>
          <w:rFonts w:ascii="Times New Roman" w:hAnsi="Times New Roman" w:cs="Times New Roman"/>
          <w:sz w:val="28"/>
          <w:szCs w:val="28"/>
        </w:rPr>
        <w:t>,</w:t>
      </w:r>
      <w:r w:rsidR="00A05358" w:rsidRPr="009C1132">
        <w:rPr>
          <w:rFonts w:ascii="Times New Roman" w:hAnsi="Times New Roman" w:cs="Times New Roman"/>
          <w:sz w:val="28"/>
          <w:szCs w:val="28"/>
        </w:rPr>
        <w:t xml:space="preserve">  </w:t>
      </w:r>
      <w:r w:rsidRPr="009C1132">
        <w:rPr>
          <w:rFonts w:ascii="Times New Roman" w:hAnsi="Times New Roman" w:cs="Times New Roman"/>
          <w:sz w:val="28"/>
          <w:szCs w:val="28"/>
        </w:rPr>
        <w:t xml:space="preserve">устанавливаются локальными нормативными актами </w:t>
      </w:r>
      <w:r w:rsidR="002A41BD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>учреждений в соответствии с трудовым законодательством и иными нормативными правовыми актами, содержащими нормы трудового права, в процентах к окладам (должностным окладам), ставкам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 xml:space="preserve"> заработной платы или в абсолютных размерах, если иное не установлено федеральным законодательством.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Размеры стимулирующих выплат работникам </w:t>
      </w:r>
      <w:r w:rsidR="002A41BD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>учреждений устанавливаются локальными нормативными актами</w:t>
      </w:r>
      <w:r w:rsidR="00630E6A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2A41BD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в соответствии с трудовым законодательством и иными нормативными правовыми актами, содержащими нормы трудового права, в пределах фонда оплаты труда </w:t>
      </w:r>
      <w:r w:rsidR="00596ECA" w:rsidRPr="009C1132">
        <w:rPr>
          <w:rFonts w:ascii="Times New Roman" w:hAnsi="Times New Roman" w:cs="Times New Roman"/>
          <w:sz w:val="28"/>
          <w:szCs w:val="28"/>
        </w:rPr>
        <w:t>муниципально</w:t>
      </w:r>
      <w:r w:rsidR="00F368A6" w:rsidRPr="009C1132">
        <w:rPr>
          <w:rFonts w:ascii="Times New Roman" w:hAnsi="Times New Roman" w:cs="Times New Roman"/>
          <w:sz w:val="28"/>
          <w:szCs w:val="28"/>
        </w:rPr>
        <w:t>го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учреждения и устанавливаются в процентах к окладам (должностным окладам), ставкам заработной платы, или в абсолютных размерах, или путем установления повышающих коэффициентов, если иное не установлено федеральным законодательством.</w:t>
      </w:r>
      <w:proofErr w:type="gramEnd"/>
    </w:p>
    <w:p w:rsidR="00B01D4D" w:rsidRPr="009C1132" w:rsidRDefault="00B01D4D" w:rsidP="00A93E4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В составе заработной платы работников </w:t>
      </w:r>
      <w:r w:rsidR="00596ECA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учреждений, размер которой не превышает минимального размера оплаты труда, установленного федеральным законом, и минимального значения размера заработной платы, </w:t>
      </w:r>
      <w:proofErr w:type="spellStart"/>
      <w:r w:rsidRPr="009C1132">
        <w:rPr>
          <w:rFonts w:ascii="Times New Roman" w:hAnsi="Times New Roman" w:cs="Times New Roman"/>
          <w:sz w:val="28"/>
          <w:szCs w:val="28"/>
        </w:rPr>
        <w:t>установленного</w:t>
      </w:r>
      <w:r w:rsidR="00E757C7" w:rsidRPr="009C1132">
        <w:rPr>
          <w:rFonts w:ascii="Times New Roman" w:hAnsi="Times New Roman" w:cs="Times New Roman"/>
          <w:sz w:val="28"/>
          <w:szCs w:val="28"/>
        </w:rPr>
        <w:t>Решением</w:t>
      </w:r>
      <w:proofErr w:type="spellEnd"/>
      <w:r w:rsidR="00E757C7" w:rsidRPr="009C1132">
        <w:rPr>
          <w:rFonts w:ascii="Times New Roman" w:hAnsi="Times New Roman" w:cs="Times New Roman"/>
          <w:sz w:val="28"/>
          <w:szCs w:val="28"/>
        </w:rPr>
        <w:t xml:space="preserve"> Совета  </w:t>
      </w:r>
      <w:r w:rsidR="00E757C7" w:rsidRPr="009C1132">
        <w:rPr>
          <w:rFonts w:ascii="Times New Roman" w:hAnsi="Times New Roman" w:cs="Times New Roman"/>
          <w:sz w:val="28"/>
          <w:szCs w:val="28"/>
        </w:rPr>
        <w:lastRenderedPageBreak/>
        <w:t>Тунгокоченского муниципального округа</w:t>
      </w:r>
      <w:r w:rsidR="00B205BF" w:rsidRPr="009C1132">
        <w:rPr>
          <w:rFonts w:ascii="Times New Roman" w:hAnsi="Times New Roman" w:cs="Times New Roman"/>
          <w:sz w:val="28"/>
          <w:szCs w:val="28"/>
        </w:rPr>
        <w:t xml:space="preserve"> от 10 июля 2023 года № 24</w:t>
      </w:r>
      <w:r w:rsidR="00A93E43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B205BF" w:rsidRPr="009C1132">
        <w:rPr>
          <w:rFonts w:ascii="Times New Roman" w:hAnsi="Times New Roman" w:cs="Times New Roman"/>
          <w:sz w:val="28"/>
          <w:szCs w:val="28"/>
        </w:rPr>
        <w:t xml:space="preserve">«Об обеспечении роста заработной платы в  </w:t>
      </w:r>
      <w:proofErr w:type="spellStart"/>
      <w:r w:rsidR="00B205BF" w:rsidRPr="009C1132">
        <w:rPr>
          <w:rFonts w:ascii="Times New Roman" w:hAnsi="Times New Roman" w:cs="Times New Roman"/>
          <w:sz w:val="28"/>
          <w:szCs w:val="28"/>
        </w:rPr>
        <w:t>Тунгокоченском</w:t>
      </w:r>
      <w:proofErr w:type="spellEnd"/>
      <w:r w:rsidR="00B205BF" w:rsidRPr="009C1132">
        <w:rPr>
          <w:rFonts w:ascii="Times New Roman" w:hAnsi="Times New Roman" w:cs="Times New Roman"/>
          <w:sz w:val="28"/>
          <w:szCs w:val="28"/>
        </w:rPr>
        <w:t xml:space="preserve"> муниципальном округе»</w:t>
      </w:r>
      <w:r w:rsidRPr="009C1132">
        <w:rPr>
          <w:rFonts w:ascii="Times New Roman" w:hAnsi="Times New Roman" w:cs="Times New Roman"/>
          <w:sz w:val="28"/>
          <w:szCs w:val="28"/>
        </w:rPr>
        <w:t>, выплаты при выполнении работ в условиях, отклоняющихся от нормальных (при выполнении работ различной квалификации, совмещении профессий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не учитываются.</w:t>
      </w:r>
      <w:proofErr w:type="gramEnd"/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9C113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Молодым специалистам, являющимся лицами в возрасте до 35 лет включительно, впервые заключившим трудовой договор с</w:t>
      </w:r>
      <w:r w:rsidR="00596ECA" w:rsidRPr="009C113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A93E43" w:rsidRPr="009C1132">
        <w:rPr>
          <w:rFonts w:ascii="Times New Roman" w:hAnsi="Times New Roman" w:cs="Times New Roman"/>
          <w:sz w:val="28"/>
          <w:szCs w:val="28"/>
        </w:rPr>
        <w:t>ми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учреждениями в течение пяти лет после завершения обучения по основным профессиональным образовательным программам и (или) по программам профессионального обучения,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устанавливается надбавка в размере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 xml:space="preserve"> 20 процентов оклада (должностного оклада), ставки заработной платы.</w:t>
      </w:r>
    </w:p>
    <w:p w:rsidR="00A431C5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Надбавка устанавливается молодым специалистам на срок до трех лет с момента заключения с </w:t>
      </w:r>
      <w:r w:rsidR="00596ECA" w:rsidRPr="009C1132">
        <w:rPr>
          <w:rFonts w:ascii="Times New Roman" w:hAnsi="Times New Roman" w:cs="Times New Roman"/>
          <w:sz w:val="28"/>
          <w:szCs w:val="28"/>
        </w:rPr>
        <w:t>муниципальны</w:t>
      </w:r>
      <w:r w:rsidR="00CE3210" w:rsidRPr="009C1132">
        <w:rPr>
          <w:rFonts w:ascii="Times New Roman" w:hAnsi="Times New Roman" w:cs="Times New Roman"/>
          <w:sz w:val="28"/>
          <w:szCs w:val="28"/>
        </w:rPr>
        <w:t xml:space="preserve">ми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учреждениями трудового договора, указанного в </w:t>
      </w:r>
      <w:hyperlink w:anchor="P69">
        <w:r w:rsidRPr="009C113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При трудоустройстве (в том числе в порядке перевода) молодого специалиста в течение трех лет после заключения с</w:t>
      </w:r>
      <w:r w:rsidR="00CE3210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714E08" w:rsidRPr="009C1132">
        <w:rPr>
          <w:rFonts w:ascii="Times New Roman" w:hAnsi="Times New Roman" w:cs="Times New Roman"/>
          <w:sz w:val="28"/>
          <w:szCs w:val="28"/>
        </w:rPr>
        <w:t>муниципальным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учреждением трудового договора, указанного в </w:t>
      </w:r>
      <w:hyperlink w:anchor="P69">
        <w:r w:rsidRPr="009C113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нас</w:t>
      </w:r>
      <w:r w:rsidR="00E17B43" w:rsidRPr="009C1132">
        <w:rPr>
          <w:rFonts w:ascii="Times New Roman" w:hAnsi="Times New Roman" w:cs="Times New Roman"/>
          <w:sz w:val="28"/>
          <w:szCs w:val="28"/>
        </w:rPr>
        <w:t>тоящего пункта, в другое муниципальное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учреждение ранее установленная надбавка сохраняется.</w:t>
      </w:r>
    </w:p>
    <w:p w:rsidR="00B01D4D" w:rsidRPr="009C1132" w:rsidRDefault="00B01D4D" w:rsidP="00034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</w:t>
      </w:r>
      <w:r w:rsidR="00CF481A" w:rsidRPr="009C1132">
        <w:rPr>
          <w:rFonts w:ascii="Times New Roman" w:hAnsi="Times New Roman" w:cs="Times New Roman"/>
          <w:sz w:val="28"/>
          <w:szCs w:val="28"/>
        </w:rPr>
        <w:t>4</w:t>
      </w:r>
      <w:r w:rsidRPr="009C1132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714E08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учреждений, работникам которых выплачивается материальная помощь, устанавливается </w:t>
      </w:r>
      <w:r w:rsidR="00034851" w:rsidRPr="009C1132">
        <w:rPr>
          <w:rFonts w:ascii="Times New Roman" w:hAnsi="Times New Roman" w:cs="Times New Roman"/>
          <w:sz w:val="28"/>
          <w:szCs w:val="28"/>
        </w:rPr>
        <w:t>администрации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</w:t>
      </w:r>
      <w:r w:rsidR="00E17B43" w:rsidRPr="009C1132">
        <w:rPr>
          <w:rFonts w:ascii="Times New Roman" w:hAnsi="Times New Roman" w:cs="Times New Roman"/>
          <w:sz w:val="28"/>
          <w:szCs w:val="28"/>
        </w:rPr>
        <w:t>5</w:t>
      </w:r>
      <w:r w:rsidRPr="009C1132">
        <w:rPr>
          <w:rFonts w:ascii="Times New Roman" w:hAnsi="Times New Roman" w:cs="Times New Roman"/>
          <w:sz w:val="28"/>
          <w:szCs w:val="28"/>
        </w:rPr>
        <w:t xml:space="preserve">. Порядок и условия выплаты материальной помощи устанавливаются локальными нормативными актами </w:t>
      </w:r>
      <w:r w:rsidR="00034851" w:rsidRPr="009C1132">
        <w:rPr>
          <w:rFonts w:ascii="Times New Roman" w:hAnsi="Times New Roman" w:cs="Times New Roman"/>
          <w:sz w:val="28"/>
          <w:szCs w:val="28"/>
        </w:rPr>
        <w:t xml:space="preserve">администрации Тунгокоченского муниципального округа </w:t>
      </w:r>
      <w:r w:rsidR="00714E08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B7608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608" w:rsidRPr="009C1132" w:rsidRDefault="003B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608" w:rsidRPr="009C1132" w:rsidRDefault="003B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608" w:rsidRPr="009C1132" w:rsidRDefault="003B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608" w:rsidRPr="009C1132" w:rsidRDefault="003B7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31C5" w:rsidRPr="009C1132" w:rsidRDefault="00A431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2101" w:rsidRDefault="006521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A431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1D4D" w:rsidRPr="009C1132">
        <w:rPr>
          <w:rFonts w:ascii="Times New Roman" w:hAnsi="Times New Roman" w:cs="Times New Roman"/>
          <w:sz w:val="28"/>
          <w:szCs w:val="28"/>
        </w:rPr>
        <w:t>риложение N 1</w:t>
      </w:r>
    </w:p>
    <w:p w:rsidR="003B7608" w:rsidRPr="009C1132" w:rsidRDefault="003B7608" w:rsidP="003B7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B7608" w:rsidRPr="009C1132" w:rsidRDefault="003B7608" w:rsidP="003B7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3B7608" w:rsidRPr="009C1132" w:rsidRDefault="00A431C5" w:rsidP="003B7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от  27 декабря 2024 г. N1051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9C1132">
        <w:rPr>
          <w:rFonts w:ascii="Times New Roman" w:hAnsi="Times New Roman" w:cs="Times New Roman"/>
          <w:sz w:val="28"/>
          <w:szCs w:val="28"/>
        </w:rPr>
        <w:t>БАЗОВЫЕ ОКЛАДЫ (БАЗОВЫЕ ДОЛЖНОСТНЫЕ ОКЛАДЫ), БАЗОВЫЕ СТАВКИ</w:t>
      </w: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ЗАРАБОТНОЙ ПЛАТЫ ПО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ПРОФЕССИОНАЛЬНЫМ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 xml:space="preserve"> КВАЛИФИКАЦИОННЫМ</w:t>
      </w: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ГРУППАМ РАБОТНИКОВ </w:t>
      </w:r>
      <w:r w:rsidR="00BE0FF5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B01D4D" w:rsidRPr="009C1132" w:rsidRDefault="00B01D4D" w:rsidP="006521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0338A" w:rsidRPr="009C113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BE0FF5" w:rsidRPr="009C1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4D" w:rsidRPr="009C1132" w:rsidRDefault="00B01D4D" w:rsidP="005240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90"/>
      <w:bookmarkEnd w:id="4"/>
      <w:r w:rsidRPr="009C1132">
        <w:rPr>
          <w:rFonts w:ascii="Times New Roman" w:hAnsi="Times New Roman" w:cs="Times New Roman"/>
          <w:b w:val="0"/>
          <w:sz w:val="28"/>
          <w:szCs w:val="28"/>
        </w:rPr>
        <w:t xml:space="preserve">1. Установить, что базовая ставка заработной платы по профессиональным квалификационным группам работников </w:t>
      </w:r>
      <w:r w:rsidR="00F43FD0" w:rsidRPr="009C113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524066" w:rsidRPr="009C1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b w:val="0"/>
          <w:sz w:val="28"/>
          <w:szCs w:val="28"/>
        </w:rPr>
        <w:t xml:space="preserve"> учреждений </w:t>
      </w:r>
      <w:r w:rsidR="00524066" w:rsidRPr="009C1132">
        <w:rPr>
          <w:rFonts w:ascii="Times New Roman" w:hAnsi="Times New Roman" w:cs="Times New Roman"/>
          <w:b w:val="0"/>
          <w:sz w:val="28"/>
          <w:szCs w:val="28"/>
        </w:rPr>
        <w:t xml:space="preserve">Тунгокоченского муниципального округа </w:t>
      </w:r>
      <w:r w:rsidRPr="009C1132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путем деления базового оклада (должностного оклада) по профессиональным квалификационным группам работников </w:t>
      </w:r>
      <w:r w:rsidR="00F43FD0" w:rsidRPr="009C113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b w:val="0"/>
          <w:sz w:val="28"/>
          <w:szCs w:val="28"/>
        </w:rPr>
        <w:t xml:space="preserve">учреждений </w:t>
      </w:r>
      <w:r w:rsidR="00F43FD0" w:rsidRPr="009C1132">
        <w:rPr>
          <w:rFonts w:ascii="Times New Roman" w:hAnsi="Times New Roman" w:cs="Times New Roman"/>
          <w:b w:val="0"/>
          <w:sz w:val="28"/>
          <w:szCs w:val="28"/>
        </w:rPr>
        <w:t xml:space="preserve">Тунгокоченского муниципального округа  </w:t>
      </w:r>
      <w:r w:rsidRPr="009C1132">
        <w:rPr>
          <w:rFonts w:ascii="Times New Roman" w:hAnsi="Times New Roman" w:cs="Times New Roman"/>
          <w:b w:val="0"/>
          <w:sz w:val="28"/>
          <w:szCs w:val="28"/>
        </w:rPr>
        <w:t xml:space="preserve"> на среднегодовую норму рабочего времени по производственному календарю на соответствующий календарный год.</w:t>
      </w:r>
    </w:p>
    <w:p w:rsidR="00B01D4D" w:rsidRPr="009C1132" w:rsidRDefault="00B01D4D" w:rsidP="00485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2. Установить базовые оклады (базовые должностные оклады) по профессиональным квалификационным группам работников </w:t>
      </w:r>
      <w:r w:rsidR="00412C66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12C66" w:rsidRPr="009C113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412C66" w:rsidRPr="009C11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1132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B01D4D" w:rsidRPr="009C1132" w:rsidRDefault="00E62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) по профессиональным квалификационным </w:t>
      </w:r>
      <w:hyperlink r:id="rId14">
        <w:r w:rsidR="00B01D4D" w:rsidRPr="009C1132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="00B01D4D" w:rsidRPr="009C1132">
        <w:rPr>
          <w:rFonts w:ascii="Times New Roman" w:hAnsi="Times New Roman" w:cs="Times New Roman"/>
          <w:sz w:val="28"/>
          <w:szCs w:val="28"/>
        </w:rPr>
        <w:t xml:space="preserve">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 августа 2007 года N 570 "Об утверждении профессиональных квалификационных групп должностей работников культуры, искусства и кинематографии":</w:t>
      </w:r>
    </w:p>
    <w:tbl>
      <w:tblPr>
        <w:tblpPr w:leftFromText="180" w:rightFromText="180" w:vertAnchor="text" w:horzAnchor="margin" w:tblpXSpec="center" w:tblpY="173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679"/>
        <w:gridCol w:w="1985"/>
        <w:gridCol w:w="1842"/>
        <w:gridCol w:w="1985"/>
      </w:tblGrid>
      <w:tr w:rsidR="00836646" w:rsidRPr="00652101" w:rsidTr="00184DD2">
        <w:tc>
          <w:tcPr>
            <w:tcW w:w="2494" w:type="dxa"/>
            <w:vMerge w:val="restart"/>
            <w:vAlign w:val="center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7491" w:type="dxa"/>
            <w:gridSpan w:val="4"/>
            <w:vAlign w:val="center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 по должностям работников культуры, искусства и кинематографии (рублей)</w:t>
            </w:r>
          </w:p>
        </w:tc>
      </w:tr>
      <w:tr w:rsidR="00836646" w:rsidRPr="00652101" w:rsidTr="00184DD2">
        <w:trPr>
          <w:trHeight w:val="1869"/>
        </w:trPr>
        <w:tc>
          <w:tcPr>
            <w:tcW w:w="2494" w:type="dxa"/>
            <w:vMerge/>
          </w:tcPr>
          <w:p w:rsidR="00836646" w:rsidRPr="00652101" w:rsidRDefault="00836646" w:rsidP="00836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технические исполнители</w:t>
            </w:r>
            <w:proofErr w:type="gramEnd"/>
            <w:r w:rsidRPr="00652101">
              <w:rPr>
                <w:rFonts w:ascii="Times New Roman" w:hAnsi="Times New Roman" w:cs="Times New Roman"/>
                <w:sz w:val="24"/>
                <w:szCs w:val="24"/>
              </w:rPr>
              <w:t xml:space="preserve"> и артисты вспомогательного состава</w:t>
            </w:r>
          </w:p>
        </w:tc>
        <w:tc>
          <w:tcPr>
            <w:tcW w:w="1985" w:type="dxa"/>
            <w:vAlign w:val="center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работники культуры, искусства и кинематографии среднего звена</w:t>
            </w:r>
          </w:p>
        </w:tc>
        <w:tc>
          <w:tcPr>
            <w:tcW w:w="1842" w:type="dxa"/>
            <w:vAlign w:val="center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работники культуры, искусства и кинематографии ведущего звена</w:t>
            </w:r>
          </w:p>
        </w:tc>
        <w:tc>
          <w:tcPr>
            <w:tcW w:w="1985" w:type="dxa"/>
            <w:vAlign w:val="center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руководящий состав учреждений культуры, искусства и кинематографии</w:t>
            </w:r>
          </w:p>
        </w:tc>
      </w:tr>
      <w:tr w:rsidR="00836646" w:rsidRPr="00652101" w:rsidTr="00184DD2">
        <w:tc>
          <w:tcPr>
            <w:tcW w:w="2494" w:type="dxa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6646" w:rsidRPr="00652101" w:rsidTr="00184DD2">
        <w:tc>
          <w:tcPr>
            <w:tcW w:w="2494" w:type="dxa"/>
          </w:tcPr>
          <w:p w:rsidR="00836646" w:rsidRPr="00652101" w:rsidRDefault="00836646" w:rsidP="00836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не установлен</w:t>
            </w:r>
          </w:p>
        </w:tc>
        <w:tc>
          <w:tcPr>
            <w:tcW w:w="1679" w:type="dxa"/>
            <w:vAlign w:val="center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6619</w:t>
            </w:r>
          </w:p>
        </w:tc>
        <w:tc>
          <w:tcPr>
            <w:tcW w:w="1985" w:type="dxa"/>
            <w:vAlign w:val="center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6791</w:t>
            </w:r>
          </w:p>
        </w:tc>
        <w:tc>
          <w:tcPr>
            <w:tcW w:w="1842" w:type="dxa"/>
            <w:vAlign w:val="center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7307</w:t>
            </w:r>
          </w:p>
        </w:tc>
        <w:tc>
          <w:tcPr>
            <w:tcW w:w="1985" w:type="dxa"/>
            <w:vAlign w:val="center"/>
          </w:tcPr>
          <w:p w:rsidR="00836646" w:rsidRPr="00652101" w:rsidRDefault="00836646" w:rsidP="00836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9367</w:t>
            </w:r>
          </w:p>
        </w:tc>
      </w:tr>
    </w:tbl>
    <w:p w:rsidR="00B01D4D" w:rsidRPr="00652101" w:rsidRDefault="00B01D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D4D" w:rsidRPr="009C1132" w:rsidRDefault="00945A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) по профессиональным квалификационным </w:t>
      </w:r>
      <w:hyperlink r:id="rId15">
        <w:r w:rsidR="00B01D4D" w:rsidRPr="009C1132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="00B01D4D" w:rsidRPr="009C1132">
        <w:rPr>
          <w:rFonts w:ascii="Times New Roman" w:hAnsi="Times New Roman" w:cs="Times New Roman"/>
          <w:sz w:val="28"/>
          <w:szCs w:val="28"/>
        </w:rPr>
        <w:t xml:space="preserve"> профессий рабочих культуры, искусства и кинематографии, утвержденным приказом Министерства здравоохранения и социального развития Российской Федерации от 14 марта 2008 года N 121н "Об утверждении профессиональных квалификационных групп профессий рабочих культуры, искусства и кинематографии":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2983"/>
        <w:gridCol w:w="2977"/>
      </w:tblGrid>
      <w:tr w:rsidR="00B01D4D" w:rsidRPr="009C1132" w:rsidTr="00E01800">
        <w:tc>
          <w:tcPr>
            <w:tcW w:w="3458" w:type="dxa"/>
            <w:vMerge w:val="restart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960" w:type="dxa"/>
            <w:gridSpan w:val="2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 по профессиям рабочих культуры, искусства и кинематографии (рублей)</w:t>
            </w:r>
          </w:p>
        </w:tc>
      </w:tr>
      <w:tr w:rsidR="00B01D4D" w:rsidRPr="009C1132" w:rsidTr="00E01800">
        <w:tc>
          <w:tcPr>
            <w:tcW w:w="3458" w:type="dxa"/>
            <w:vMerge/>
          </w:tcPr>
          <w:p w:rsidR="00B01D4D" w:rsidRPr="00652101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977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второй уровень</w:t>
            </w:r>
          </w:p>
        </w:tc>
      </w:tr>
      <w:tr w:rsidR="00B01D4D" w:rsidRPr="009C1132" w:rsidTr="00E01800">
        <w:tc>
          <w:tcPr>
            <w:tcW w:w="3458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D4D" w:rsidRPr="009C1132" w:rsidTr="00E01800">
        <w:tc>
          <w:tcPr>
            <w:tcW w:w="3458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не установлен</w:t>
            </w:r>
          </w:p>
        </w:tc>
        <w:tc>
          <w:tcPr>
            <w:tcW w:w="2983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6619</w:t>
            </w:r>
          </w:p>
        </w:tc>
        <w:tc>
          <w:tcPr>
            <w:tcW w:w="2977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01D4D" w:rsidRPr="009C1132" w:rsidTr="00E01800">
        <w:tc>
          <w:tcPr>
            <w:tcW w:w="3458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83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6791</w:t>
            </w:r>
          </w:p>
        </w:tc>
      </w:tr>
      <w:tr w:rsidR="00B01D4D" w:rsidRPr="009C1132" w:rsidTr="00E01800">
        <w:tc>
          <w:tcPr>
            <w:tcW w:w="3458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83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6964</w:t>
            </w:r>
          </w:p>
        </w:tc>
      </w:tr>
      <w:tr w:rsidR="00B01D4D" w:rsidRPr="009C1132" w:rsidTr="00E01800">
        <w:tc>
          <w:tcPr>
            <w:tcW w:w="3458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983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7135</w:t>
            </w:r>
          </w:p>
        </w:tc>
      </w:tr>
      <w:tr w:rsidR="00B01D4D" w:rsidRPr="009C1132" w:rsidTr="00E01800">
        <w:tc>
          <w:tcPr>
            <w:tcW w:w="3458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983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7307</w:t>
            </w:r>
          </w:p>
        </w:tc>
      </w:tr>
    </w:tbl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945A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3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) по профессиональным квалификационным </w:t>
      </w:r>
      <w:hyperlink r:id="rId16">
        <w:r w:rsidR="00B01D4D" w:rsidRPr="009C1132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="00B01D4D" w:rsidRPr="009C1132">
        <w:rPr>
          <w:rFonts w:ascii="Times New Roman" w:hAnsi="Times New Roman" w:cs="Times New Roman"/>
          <w:sz w:val="28"/>
          <w:szCs w:val="28"/>
        </w:rPr>
        <w:t xml:space="preserve"> должностей работников образования, утвержденным приказом Министерства здравоохранения и социального развития Российской Федерации от 5 мая 2008 года N 216н "Об утверждении профессиональных квалификационных групп должностей работников образования":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559"/>
        <w:gridCol w:w="1560"/>
        <w:gridCol w:w="1701"/>
        <w:gridCol w:w="1559"/>
      </w:tblGrid>
      <w:tr w:rsidR="00B01D4D" w:rsidRPr="00652101" w:rsidTr="00E01800">
        <w:tc>
          <w:tcPr>
            <w:tcW w:w="3039" w:type="dxa"/>
            <w:vMerge w:val="restart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79" w:type="dxa"/>
            <w:gridSpan w:val="4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 по должностям работников образования (рублей)</w:t>
            </w:r>
          </w:p>
        </w:tc>
      </w:tr>
      <w:tr w:rsidR="00B01D4D" w:rsidRPr="00652101" w:rsidTr="00E01800">
        <w:tc>
          <w:tcPr>
            <w:tcW w:w="3039" w:type="dxa"/>
            <w:vMerge/>
          </w:tcPr>
          <w:p w:rsidR="00B01D4D" w:rsidRPr="00652101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701" w:type="dxa"/>
            <w:vMerge w:val="restart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  <w:vMerge w:val="restart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B01D4D" w:rsidRPr="00652101" w:rsidTr="00E01800">
        <w:tc>
          <w:tcPr>
            <w:tcW w:w="3039" w:type="dxa"/>
            <w:vMerge/>
          </w:tcPr>
          <w:p w:rsidR="00B01D4D" w:rsidRPr="00652101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560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701" w:type="dxa"/>
            <w:vMerge/>
          </w:tcPr>
          <w:p w:rsidR="00B01D4D" w:rsidRPr="00652101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1D4D" w:rsidRPr="00652101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4D" w:rsidRPr="00652101" w:rsidTr="00E01800">
        <w:tc>
          <w:tcPr>
            <w:tcW w:w="3039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D4D" w:rsidRPr="00652101" w:rsidTr="00E01800">
        <w:tc>
          <w:tcPr>
            <w:tcW w:w="3039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не установлен</w:t>
            </w: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6619</w:t>
            </w:r>
          </w:p>
        </w:tc>
        <w:tc>
          <w:tcPr>
            <w:tcW w:w="1560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01D4D" w:rsidRPr="00652101" w:rsidTr="00E01800">
        <w:tc>
          <w:tcPr>
            <w:tcW w:w="3039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6791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8512</w:t>
            </w: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9787</w:t>
            </w:r>
          </w:p>
        </w:tc>
      </w:tr>
      <w:tr w:rsidR="00B01D4D" w:rsidRPr="00652101" w:rsidTr="00E01800">
        <w:tc>
          <w:tcPr>
            <w:tcW w:w="3039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65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60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6964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8674</w:t>
            </w: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9960</w:t>
            </w:r>
          </w:p>
        </w:tc>
      </w:tr>
      <w:tr w:rsidR="00B01D4D" w:rsidRPr="00652101" w:rsidTr="00E01800">
        <w:tc>
          <w:tcPr>
            <w:tcW w:w="3039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8836</w:t>
            </w: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10132</w:t>
            </w:r>
          </w:p>
        </w:tc>
      </w:tr>
      <w:tr w:rsidR="00B01D4D" w:rsidRPr="00652101" w:rsidTr="00E01800">
        <w:tc>
          <w:tcPr>
            <w:tcW w:w="3039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8996</w:t>
            </w:r>
          </w:p>
        </w:tc>
        <w:tc>
          <w:tcPr>
            <w:tcW w:w="155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945A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4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)по профессиональным квалификационным </w:t>
      </w:r>
      <w:hyperlink r:id="rId17">
        <w:r w:rsidR="00B01D4D" w:rsidRPr="009C1132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="00B01D4D" w:rsidRPr="009C1132">
        <w:rPr>
          <w:rFonts w:ascii="Times New Roman" w:hAnsi="Times New Roman" w:cs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509"/>
        <w:gridCol w:w="1701"/>
        <w:gridCol w:w="1701"/>
        <w:gridCol w:w="1701"/>
      </w:tblGrid>
      <w:tr w:rsidR="00B01D4D" w:rsidRPr="009C1132" w:rsidTr="0080534C">
        <w:tc>
          <w:tcPr>
            <w:tcW w:w="3231" w:type="dxa"/>
            <w:vMerge w:val="restart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612" w:type="dxa"/>
            <w:gridSpan w:val="4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 по общеотраслевым должностям руководителей, специалистов и служащих (рублей)</w:t>
            </w:r>
          </w:p>
        </w:tc>
      </w:tr>
      <w:tr w:rsidR="00B01D4D" w:rsidRPr="009C1132" w:rsidTr="0080534C">
        <w:tc>
          <w:tcPr>
            <w:tcW w:w="3231" w:type="dxa"/>
            <w:vMerge/>
          </w:tcPr>
          <w:p w:rsidR="00B01D4D" w:rsidRPr="00652101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четвертый уровень</w:t>
            </w:r>
          </w:p>
        </w:tc>
      </w:tr>
      <w:tr w:rsidR="00B01D4D" w:rsidRPr="009C1132" w:rsidTr="0080534C">
        <w:tc>
          <w:tcPr>
            <w:tcW w:w="3231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D4D" w:rsidRPr="009C1132" w:rsidTr="0080534C">
        <w:tc>
          <w:tcPr>
            <w:tcW w:w="3231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0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6619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6964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8165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9024</w:t>
            </w:r>
          </w:p>
        </w:tc>
      </w:tr>
      <w:tr w:rsidR="00B01D4D" w:rsidRPr="009C1132" w:rsidTr="0080534C">
        <w:tc>
          <w:tcPr>
            <w:tcW w:w="3231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0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6791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7135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8336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9196</w:t>
            </w:r>
          </w:p>
        </w:tc>
      </w:tr>
      <w:tr w:rsidR="00B01D4D" w:rsidRPr="009C1132" w:rsidTr="0080534C">
        <w:tc>
          <w:tcPr>
            <w:tcW w:w="3231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0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7478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8508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9367</w:t>
            </w:r>
          </w:p>
        </w:tc>
      </w:tr>
      <w:tr w:rsidR="00B01D4D" w:rsidRPr="009C1132" w:rsidTr="0080534C">
        <w:tc>
          <w:tcPr>
            <w:tcW w:w="3231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0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7822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8680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01D4D" w:rsidRPr="009C1132" w:rsidTr="0080534C">
        <w:tc>
          <w:tcPr>
            <w:tcW w:w="3231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509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7993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8852</w:t>
            </w:r>
          </w:p>
        </w:tc>
        <w:tc>
          <w:tcPr>
            <w:tcW w:w="1701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6A4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5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) по профессиональным квалификационным </w:t>
      </w:r>
      <w:hyperlink r:id="rId18">
        <w:r w:rsidR="00B01D4D" w:rsidRPr="009C1132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="00B01D4D" w:rsidRPr="009C1132">
        <w:rPr>
          <w:rFonts w:ascii="Times New Roman" w:hAnsi="Times New Roman" w:cs="Times New Roman"/>
          <w:sz w:val="28"/>
          <w:szCs w:val="28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2954"/>
        <w:gridCol w:w="3544"/>
      </w:tblGrid>
      <w:tr w:rsidR="00B01D4D" w:rsidRPr="009C1132" w:rsidTr="00E01800">
        <w:tc>
          <w:tcPr>
            <w:tcW w:w="3345" w:type="dxa"/>
            <w:vMerge w:val="restart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498" w:type="dxa"/>
            <w:gridSpan w:val="2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 по общеотраслевым профессиям рабочих (рублей)</w:t>
            </w:r>
          </w:p>
        </w:tc>
      </w:tr>
      <w:tr w:rsidR="00B01D4D" w:rsidRPr="009C1132" w:rsidTr="00E01800">
        <w:tc>
          <w:tcPr>
            <w:tcW w:w="3345" w:type="dxa"/>
            <w:vMerge/>
          </w:tcPr>
          <w:p w:rsidR="00B01D4D" w:rsidRPr="00652101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первый уровень</w:t>
            </w:r>
          </w:p>
        </w:tc>
        <w:tc>
          <w:tcPr>
            <w:tcW w:w="3544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второй уровень</w:t>
            </w:r>
          </w:p>
        </w:tc>
      </w:tr>
      <w:tr w:rsidR="00B01D4D" w:rsidRPr="009C1132" w:rsidTr="00E01800">
        <w:tc>
          <w:tcPr>
            <w:tcW w:w="3345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D4D" w:rsidRPr="009C1132" w:rsidTr="00E01800">
        <w:tc>
          <w:tcPr>
            <w:tcW w:w="3345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54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5666</w:t>
            </w:r>
          </w:p>
        </w:tc>
        <w:tc>
          <w:tcPr>
            <w:tcW w:w="3544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6354</w:t>
            </w:r>
          </w:p>
        </w:tc>
      </w:tr>
      <w:tr w:rsidR="00B01D4D" w:rsidRPr="009C1132" w:rsidTr="00E01800">
        <w:tc>
          <w:tcPr>
            <w:tcW w:w="3345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54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6010</w:t>
            </w:r>
          </w:p>
        </w:tc>
        <w:tc>
          <w:tcPr>
            <w:tcW w:w="3544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6697</w:t>
            </w:r>
          </w:p>
        </w:tc>
      </w:tr>
      <w:tr w:rsidR="00B01D4D" w:rsidRPr="009C1132" w:rsidTr="00E01800">
        <w:tc>
          <w:tcPr>
            <w:tcW w:w="3345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954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44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7040</w:t>
            </w:r>
          </w:p>
        </w:tc>
      </w:tr>
      <w:tr w:rsidR="00B01D4D" w:rsidRPr="009C1132" w:rsidTr="00E01800">
        <w:tc>
          <w:tcPr>
            <w:tcW w:w="3345" w:type="dxa"/>
          </w:tcPr>
          <w:p w:rsidR="00B01D4D" w:rsidRPr="00652101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954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544" w:type="dxa"/>
            <w:vAlign w:val="center"/>
          </w:tcPr>
          <w:p w:rsidR="00B01D4D" w:rsidRPr="00652101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01">
              <w:rPr>
                <w:rFonts w:ascii="Times New Roman" w:hAnsi="Times New Roman" w:cs="Times New Roman"/>
                <w:sz w:val="24"/>
                <w:szCs w:val="24"/>
              </w:rPr>
              <w:t>7212</w:t>
            </w:r>
          </w:p>
        </w:tc>
      </w:tr>
    </w:tbl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по профессиям рабочих, по которым предусмотрено присвоение квалификационных разрядов: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07"/>
        <w:gridCol w:w="964"/>
        <w:gridCol w:w="850"/>
        <w:gridCol w:w="964"/>
        <w:gridCol w:w="1020"/>
        <w:gridCol w:w="964"/>
      </w:tblGrid>
      <w:tr w:rsidR="00B01D4D" w:rsidRPr="00F04C1C">
        <w:tc>
          <w:tcPr>
            <w:tcW w:w="7426" w:type="dxa"/>
            <w:gridSpan w:val="8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Размеры базовых окладов по квалификационным разрядам (рублей)</w:t>
            </w:r>
          </w:p>
        </w:tc>
      </w:tr>
      <w:tr w:rsidR="00B01D4D" w:rsidRPr="00F04C1C">
        <w:tc>
          <w:tcPr>
            <w:tcW w:w="907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1D4D" w:rsidRPr="00F04C1C">
        <w:tc>
          <w:tcPr>
            <w:tcW w:w="907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5666</w:t>
            </w:r>
          </w:p>
        </w:tc>
        <w:tc>
          <w:tcPr>
            <w:tcW w:w="850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5666</w:t>
            </w:r>
          </w:p>
        </w:tc>
        <w:tc>
          <w:tcPr>
            <w:tcW w:w="907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5838</w:t>
            </w:r>
          </w:p>
        </w:tc>
        <w:tc>
          <w:tcPr>
            <w:tcW w:w="964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6354</w:t>
            </w:r>
          </w:p>
        </w:tc>
        <w:tc>
          <w:tcPr>
            <w:tcW w:w="850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6526</w:t>
            </w:r>
          </w:p>
        </w:tc>
        <w:tc>
          <w:tcPr>
            <w:tcW w:w="964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6697</w:t>
            </w:r>
          </w:p>
        </w:tc>
        <w:tc>
          <w:tcPr>
            <w:tcW w:w="1020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6869</w:t>
            </w:r>
          </w:p>
        </w:tc>
        <w:tc>
          <w:tcPr>
            <w:tcW w:w="964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7040</w:t>
            </w:r>
          </w:p>
        </w:tc>
      </w:tr>
    </w:tbl>
    <w:p w:rsidR="00B01D4D" w:rsidRPr="00F04C1C" w:rsidRDefault="00B01D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6A4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6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) по профессиональным квалификационным </w:t>
      </w:r>
      <w:hyperlink r:id="rId19">
        <w:r w:rsidR="00B01D4D" w:rsidRPr="009C1132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="00B01D4D" w:rsidRPr="009C1132">
        <w:rPr>
          <w:rFonts w:ascii="Times New Roman" w:hAnsi="Times New Roman" w:cs="Times New Roman"/>
          <w:sz w:val="28"/>
          <w:szCs w:val="28"/>
        </w:rPr>
        <w:t xml:space="preserve"> должностей работников печатных средств массовой информации, утвержденным приказом Министерства здравоохранения и социального развития Российской Федерации от 18 июля 2008 года N 342н "Об утверждении профессиональных квалификационных </w:t>
      </w:r>
      <w:proofErr w:type="gramStart"/>
      <w:r w:rsidR="00B01D4D" w:rsidRPr="009C1132">
        <w:rPr>
          <w:rFonts w:ascii="Times New Roman" w:hAnsi="Times New Roman" w:cs="Times New Roman"/>
          <w:sz w:val="28"/>
          <w:szCs w:val="28"/>
        </w:rPr>
        <w:t>групп должностей работников печатных средств массовой информации</w:t>
      </w:r>
      <w:proofErr w:type="gramEnd"/>
      <w:r w:rsidR="00B01D4D" w:rsidRPr="009C1132">
        <w:rPr>
          <w:rFonts w:ascii="Times New Roman" w:hAnsi="Times New Roman" w:cs="Times New Roman"/>
          <w:sz w:val="28"/>
          <w:szCs w:val="28"/>
        </w:rPr>
        <w:t>":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651"/>
        <w:gridCol w:w="1701"/>
        <w:gridCol w:w="1701"/>
        <w:gridCol w:w="1559"/>
      </w:tblGrid>
      <w:tr w:rsidR="00B01D4D" w:rsidRPr="009C1132" w:rsidTr="00184DD2">
        <w:tc>
          <w:tcPr>
            <w:tcW w:w="3231" w:type="dxa"/>
            <w:vMerge w:val="restart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612" w:type="dxa"/>
            <w:gridSpan w:val="4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 по должностям работников печатных средств массовой информации (рублей)</w:t>
            </w:r>
          </w:p>
        </w:tc>
      </w:tr>
      <w:tr w:rsidR="00B01D4D" w:rsidRPr="009C1132" w:rsidTr="00184DD2">
        <w:tc>
          <w:tcPr>
            <w:tcW w:w="3231" w:type="dxa"/>
            <w:vMerge/>
          </w:tcPr>
          <w:p w:rsidR="00B01D4D" w:rsidRPr="00F04C1C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559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четвертый уровень</w:t>
            </w:r>
          </w:p>
        </w:tc>
      </w:tr>
      <w:tr w:rsidR="00B01D4D" w:rsidRPr="009C1132" w:rsidTr="00184DD2">
        <w:tc>
          <w:tcPr>
            <w:tcW w:w="3231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D4D" w:rsidRPr="009C1132" w:rsidTr="00184DD2">
        <w:tc>
          <w:tcPr>
            <w:tcW w:w="3231" w:type="dxa"/>
          </w:tcPr>
          <w:p w:rsidR="00B01D4D" w:rsidRPr="00F04C1C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не установлен</w:t>
            </w:r>
          </w:p>
        </w:tc>
        <w:tc>
          <w:tcPr>
            <w:tcW w:w="165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6963</w:t>
            </w: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01D4D" w:rsidRPr="009C1132" w:rsidTr="00184DD2">
        <w:tc>
          <w:tcPr>
            <w:tcW w:w="3231" w:type="dxa"/>
          </w:tcPr>
          <w:p w:rsidR="00B01D4D" w:rsidRPr="00F04C1C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65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7135</w:t>
            </w: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7651</w:t>
            </w:r>
          </w:p>
        </w:tc>
        <w:tc>
          <w:tcPr>
            <w:tcW w:w="1559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8508</w:t>
            </w:r>
          </w:p>
        </w:tc>
      </w:tr>
      <w:tr w:rsidR="00B01D4D" w:rsidRPr="009C1132" w:rsidTr="00184DD2">
        <w:tc>
          <w:tcPr>
            <w:tcW w:w="3231" w:type="dxa"/>
          </w:tcPr>
          <w:p w:rsidR="00B01D4D" w:rsidRPr="00F04C1C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65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7307</w:t>
            </w: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7823</w:t>
            </w:r>
          </w:p>
        </w:tc>
        <w:tc>
          <w:tcPr>
            <w:tcW w:w="1559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8680</w:t>
            </w:r>
          </w:p>
        </w:tc>
      </w:tr>
      <w:tr w:rsidR="00B01D4D" w:rsidRPr="009C1132" w:rsidTr="00184DD2">
        <w:tc>
          <w:tcPr>
            <w:tcW w:w="3231" w:type="dxa"/>
          </w:tcPr>
          <w:p w:rsidR="00B01D4D" w:rsidRPr="00F04C1C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65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7479</w:t>
            </w: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7995</w:t>
            </w:r>
          </w:p>
        </w:tc>
        <w:tc>
          <w:tcPr>
            <w:tcW w:w="1559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9367</w:t>
            </w:r>
          </w:p>
        </w:tc>
      </w:tr>
      <w:tr w:rsidR="00B01D4D" w:rsidRPr="009C1132" w:rsidTr="00184DD2">
        <w:tc>
          <w:tcPr>
            <w:tcW w:w="3231" w:type="dxa"/>
          </w:tcPr>
          <w:p w:rsidR="00B01D4D" w:rsidRPr="00F04C1C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651" w:type="dxa"/>
            <w:vAlign w:val="center"/>
          </w:tcPr>
          <w:p w:rsidR="00B01D4D" w:rsidRPr="00F04C1C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8167</w:t>
            </w:r>
          </w:p>
        </w:tc>
        <w:tc>
          <w:tcPr>
            <w:tcW w:w="1559" w:type="dxa"/>
            <w:vAlign w:val="center"/>
          </w:tcPr>
          <w:p w:rsidR="00B01D4D" w:rsidRPr="00F04C1C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6A4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132">
        <w:rPr>
          <w:rFonts w:ascii="Times New Roman" w:hAnsi="Times New Roman" w:cs="Times New Roman"/>
          <w:sz w:val="28"/>
          <w:szCs w:val="28"/>
        </w:rPr>
        <w:t>7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) по профессиональным квалификационным </w:t>
      </w:r>
      <w:hyperlink r:id="rId20">
        <w:r w:rsidR="00B01D4D" w:rsidRPr="009C1132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="00B01D4D" w:rsidRPr="009C1132">
        <w:rPr>
          <w:rFonts w:ascii="Times New Roman" w:hAnsi="Times New Roman" w:cs="Times New Roman"/>
          <w:sz w:val="28"/>
          <w:szCs w:val="28"/>
        </w:rPr>
        <w:t xml:space="preserve">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документов, утвержденным приказом Министерства труда и социальной защиты Российской Федерации от 25 марта 2013 года N 119н "Об утверждении профессиональных </w:t>
      </w:r>
      <w:r w:rsidR="00B01D4D" w:rsidRPr="009C1132">
        <w:rPr>
          <w:rFonts w:ascii="Times New Roman" w:hAnsi="Times New Roman" w:cs="Times New Roman"/>
          <w:sz w:val="28"/>
          <w:szCs w:val="28"/>
        </w:rPr>
        <w:lastRenderedPageBreak/>
        <w:t>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документов":</w:t>
      </w:r>
      <w:proofErr w:type="gramEnd"/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125"/>
        <w:gridCol w:w="3260"/>
      </w:tblGrid>
      <w:tr w:rsidR="00B01D4D" w:rsidRPr="009C1132" w:rsidTr="00552DBC">
        <w:tc>
          <w:tcPr>
            <w:tcW w:w="3458" w:type="dxa"/>
            <w:vMerge w:val="restart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85" w:type="dxa"/>
            <w:gridSpan w:val="2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Базовый оклад (базовый должностной оклад) по должностям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(рублей)</w:t>
            </w:r>
          </w:p>
        </w:tc>
      </w:tr>
      <w:tr w:rsidR="00B01D4D" w:rsidRPr="009C1132" w:rsidTr="00552DBC">
        <w:tc>
          <w:tcPr>
            <w:tcW w:w="3458" w:type="dxa"/>
            <w:vMerge/>
          </w:tcPr>
          <w:p w:rsidR="00B01D4D" w:rsidRPr="00F04C1C" w:rsidRDefault="00B01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третий уровень</w:t>
            </w:r>
          </w:p>
        </w:tc>
        <w:tc>
          <w:tcPr>
            <w:tcW w:w="3260" w:type="dxa"/>
            <w:vAlign w:val="center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четвертый уровень</w:t>
            </w:r>
          </w:p>
        </w:tc>
      </w:tr>
      <w:tr w:rsidR="00B01D4D" w:rsidRPr="009C1132" w:rsidTr="00552DBC">
        <w:tc>
          <w:tcPr>
            <w:tcW w:w="3458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D4D" w:rsidRPr="009C1132" w:rsidTr="00552DBC">
        <w:tc>
          <w:tcPr>
            <w:tcW w:w="3458" w:type="dxa"/>
          </w:tcPr>
          <w:p w:rsidR="00B01D4D" w:rsidRPr="00F04C1C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5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8045</w:t>
            </w:r>
          </w:p>
        </w:tc>
        <w:tc>
          <w:tcPr>
            <w:tcW w:w="3260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9024</w:t>
            </w:r>
          </w:p>
        </w:tc>
      </w:tr>
      <w:tr w:rsidR="00B01D4D" w:rsidRPr="009C1132" w:rsidTr="00552DBC">
        <w:tc>
          <w:tcPr>
            <w:tcW w:w="3458" w:type="dxa"/>
          </w:tcPr>
          <w:p w:rsidR="00B01D4D" w:rsidRPr="00F04C1C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5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8216</w:t>
            </w:r>
          </w:p>
        </w:tc>
        <w:tc>
          <w:tcPr>
            <w:tcW w:w="3260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9196</w:t>
            </w:r>
          </w:p>
        </w:tc>
      </w:tr>
      <w:tr w:rsidR="00B01D4D" w:rsidRPr="009C1132" w:rsidTr="00552DBC">
        <w:tc>
          <w:tcPr>
            <w:tcW w:w="3458" w:type="dxa"/>
          </w:tcPr>
          <w:p w:rsidR="00B01D4D" w:rsidRPr="00F04C1C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125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8388</w:t>
            </w:r>
          </w:p>
        </w:tc>
        <w:tc>
          <w:tcPr>
            <w:tcW w:w="3260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9368</w:t>
            </w:r>
          </w:p>
        </w:tc>
      </w:tr>
      <w:tr w:rsidR="00B01D4D" w:rsidRPr="009C1132" w:rsidTr="00552DBC">
        <w:tc>
          <w:tcPr>
            <w:tcW w:w="3458" w:type="dxa"/>
          </w:tcPr>
          <w:p w:rsidR="00B01D4D" w:rsidRPr="00F04C1C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125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8560</w:t>
            </w:r>
          </w:p>
        </w:tc>
        <w:tc>
          <w:tcPr>
            <w:tcW w:w="3260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01D4D" w:rsidRPr="009C1132" w:rsidTr="00552DBC">
        <w:tc>
          <w:tcPr>
            <w:tcW w:w="3458" w:type="dxa"/>
          </w:tcPr>
          <w:p w:rsidR="00B01D4D" w:rsidRPr="00F04C1C" w:rsidRDefault="00B01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125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8731</w:t>
            </w:r>
          </w:p>
        </w:tc>
        <w:tc>
          <w:tcPr>
            <w:tcW w:w="3260" w:type="dxa"/>
          </w:tcPr>
          <w:p w:rsidR="00B01D4D" w:rsidRPr="00F04C1C" w:rsidRDefault="00B01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1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F9A" w:rsidRPr="009C1132" w:rsidRDefault="00DA6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F9A" w:rsidRPr="009C1132" w:rsidRDefault="00DA6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F9A" w:rsidRPr="009C1132" w:rsidRDefault="00DA6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8A2" w:rsidRPr="009C1132" w:rsidRDefault="006A4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F9A" w:rsidRPr="009C1132" w:rsidRDefault="00DA6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F9A" w:rsidRPr="009C1132" w:rsidRDefault="00DA6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F9A" w:rsidRPr="009C1132" w:rsidRDefault="00DA6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DA6F9A" w:rsidRPr="009C1132" w:rsidRDefault="00DA6F9A" w:rsidP="00DA6F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6EB2" w:rsidRPr="009C1132">
        <w:rPr>
          <w:rFonts w:ascii="Times New Roman" w:hAnsi="Times New Roman" w:cs="Times New Roman"/>
          <w:sz w:val="28"/>
          <w:szCs w:val="28"/>
        </w:rPr>
        <w:t>а</w:t>
      </w:r>
      <w:r w:rsidRPr="009C113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A6F9A" w:rsidRPr="009C1132" w:rsidRDefault="00DA6F9A" w:rsidP="00DA6F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DA6F9A" w:rsidRPr="009C1132" w:rsidRDefault="007E6EB2" w:rsidP="00DA6F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о</w:t>
      </w:r>
      <w:r w:rsidR="00DA6F9A" w:rsidRPr="009C1132">
        <w:rPr>
          <w:rFonts w:ascii="Times New Roman" w:hAnsi="Times New Roman" w:cs="Times New Roman"/>
          <w:sz w:val="28"/>
          <w:szCs w:val="28"/>
        </w:rPr>
        <w:t>т</w:t>
      </w:r>
      <w:r w:rsidRPr="009C1132">
        <w:rPr>
          <w:rFonts w:ascii="Times New Roman" w:hAnsi="Times New Roman" w:cs="Times New Roman"/>
          <w:sz w:val="28"/>
          <w:szCs w:val="28"/>
        </w:rPr>
        <w:t xml:space="preserve"> 27 декабря  2024 г. N 1051</w:t>
      </w:r>
    </w:p>
    <w:p w:rsidR="008250B1" w:rsidRPr="009C1132" w:rsidRDefault="008250B1" w:rsidP="00DA6F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20"/>
      <w:bookmarkEnd w:id="5"/>
      <w:r w:rsidRPr="009C1132">
        <w:rPr>
          <w:rFonts w:ascii="Times New Roman" w:hAnsi="Times New Roman" w:cs="Times New Roman"/>
          <w:sz w:val="28"/>
          <w:szCs w:val="28"/>
        </w:rPr>
        <w:t>ОБЩИЙ ПЕРЕЧЕНЬ</w:t>
      </w: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КОМПЕНСАЦИОННЫХ И СТИМУЛИРУЮЩИХ ВЫПЛАТ РАБОТНИКАМ</w:t>
      </w:r>
    </w:p>
    <w:p w:rsidR="00A80538" w:rsidRPr="009C1132" w:rsidRDefault="00B01D4D" w:rsidP="00231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231133" w:rsidRPr="009C1132">
        <w:rPr>
          <w:rFonts w:ascii="Times New Roman" w:hAnsi="Times New Roman" w:cs="Times New Roman"/>
          <w:sz w:val="28"/>
          <w:szCs w:val="28"/>
        </w:rPr>
        <w:t>МУНИЦИПАЛЬНЫХ УЧРЕЖДЕНИЙ ТУНГОКОЧЕНСКОГО</w:t>
      </w:r>
    </w:p>
    <w:p w:rsidR="00B01D4D" w:rsidRPr="009C1132" w:rsidRDefault="00231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1. К компенсационным выплатам относятся: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1) выплаты работникам, занятым на работах с вредными и (или) опасными условиями труда;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2) выплаты за работу в местностях с особыми климатическими условиями (районный коэффициент, процентная надбавка за стаж работы в районах Крайнего Севера и приравненных к ним местностях);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4) надбавка за работу со сведениями, составляющими государственную тайну;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5) иные выплаты компенсационного характера, устанавливаемые в соответствии с трудовым законодательством и иными нормативными правовыми актами, содержащими нормы трудового законодательства.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2. К стимулирующим выплатам относятся: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1) выплата за специфику работы;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2) выплата за интенсивность;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3) выплата за высокие результаты работы;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4) выплата за качество выполняемых работ;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5) надбавка за особые условия работы;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6) надбавка за стаж непрерывной работы;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7) надбавка за выслугу лет;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lastRenderedPageBreak/>
        <w:t>8) надбавка водителям за классность;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9) надбавка молодым специалистам;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10) надбавка за почетное звание, ведомственный знак отличия, ученую степень, ученое звание, за высокие спортивные достижения и другие;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11) надбавка работникам, занятым на рабочих местах, находящихся в малых населенных пунктах Забайкальского края;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12) надбавка работникам, осуществляющим деятельность по наиболее востребованным должностям (профессиям, специальностям);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13) система премирования;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14) иные выплаты стимулирующего характера, определяемые примерными положениями об оплате труда в соответствии с трудовым законодательством и иными нормативными правовыми актами, содержащими нормы трудового законодательства.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0B1" w:rsidRPr="009C1132" w:rsidRDefault="00825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0B1" w:rsidRPr="009C1132" w:rsidRDefault="00825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2DBC" w:rsidRPr="009C1132" w:rsidRDefault="00552D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B9124E" w:rsidRPr="009C1132" w:rsidRDefault="002270C2" w:rsidP="00B9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постановлением а</w:t>
      </w:r>
      <w:r w:rsidR="00B9124E" w:rsidRPr="009C113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9124E" w:rsidRPr="009C1132" w:rsidRDefault="00B9124E" w:rsidP="00B9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B9124E" w:rsidRPr="009C1132" w:rsidRDefault="002270C2" w:rsidP="00B9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от 27 декабря  2024 г. N 1051</w:t>
      </w:r>
    </w:p>
    <w:p w:rsidR="00B9124E" w:rsidRPr="009C1132" w:rsidRDefault="00B912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655"/>
      <w:bookmarkEnd w:id="6"/>
      <w:r w:rsidRPr="009C1132">
        <w:rPr>
          <w:rFonts w:ascii="Times New Roman" w:hAnsi="Times New Roman" w:cs="Times New Roman"/>
          <w:sz w:val="28"/>
          <w:szCs w:val="28"/>
        </w:rPr>
        <w:t>ПОРЯДОК</w:t>
      </w:r>
    </w:p>
    <w:p w:rsidR="00A80538" w:rsidRPr="009C1132" w:rsidRDefault="00B01D4D" w:rsidP="00A805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ФОРМИРОВАНИЯ ФОНДА ОПЛАТЫ ТРУДА РАБОТНИКОВ </w:t>
      </w:r>
      <w:r w:rsidR="00A80538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A80538" w:rsidRPr="009C1132" w:rsidRDefault="00A80538" w:rsidP="00A805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УЧРЕЖДЕНИЙ ТУНГОКОЧЕНСКОГО МУНИЦИПАЛЬНОГО ОКРУГА </w:t>
      </w:r>
    </w:p>
    <w:p w:rsidR="00B01D4D" w:rsidRPr="009C1132" w:rsidRDefault="00B01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общие положения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формирования фонда оплаты труда работников </w:t>
      </w:r>
      <w:r w:rsidR="0020029A" w:rsidRPr="009C1132">
        <w:rPr>
          <w:rFonts w:ascii="Times New Roman" w:hAnsi="Times New Roman" w:cs="Times New Roman"/>
          <w:sz w:val="28"/>
          <w:szCs w:val="28"/>
        </w:rPr>
        <w:t>муниципальных  учреждений</w:t>
      </w:r>
      <w:proofErr w:type="gramEnd"/>
      <w:r w:rsidR="0020029A" w:rsidRPr="009C1132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2. Фонд оплаты труда работников </w:t>
      </w:r>
      <w:r w:rsidR="0020029A" w:rsidRPr="009C1132">
        <w:rPr>
          <w:rFonts w:ascii="Times New Roman" w:hAnsi="Times New Roman" w:cs="Times New Roman"/>
          <w:sz w:val="28"/>
          <w:szCs w:val="28"/>
        </w:rPr>
        <w:t>муниципальных  учреждений Тунгокоченского муниципального округа</w:t>
      </w:r>
      <w:r w:rsidR="0020029A" w:rsidRPr="009C11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113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0029A" w:rsidRPr="009C1132">
        <w:rPr>
          <w:rFonts w:ascii="Times New Roman" w:hAnsi="Times New Roman" w:cs="Times New Roman"/>
          <w:sz w:val="28"/>
          <w:szCs w:val="28"/>
        </w:rPr>
        <w:t>муниципальные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учреждения) формируется ежегодно, устанавливается на календарный год.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3. Методика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</w:t>
      </w:r>
      <w:r w:rsidR="00A16AA1" w:rsidRPr="009C113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A16AA1" w:rsidRPr="009C1132">
        <w:rPr>
          <w:rFonts w:ascii="Times New Roman" w:hAnsi="Times New Roman" w:cs="Times New Roman"/>
          <w:sz w:val="28"/>
          <w:szCs w:val="28"/>
        </w:rPr>
        <w:t>комитетами администрации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краевых учреждений.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4. Фонд оплаты труда работников </w:t>
      </w:r>
      <w:r w:rsidR="00736269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формируется исходя из размеров окладов (должностных окладов), ставок заработной платы, компенсационных и стимулирующих выплат, гарантированных доплат в пределах объема средств, поступающих в установленном порядке</w:t>
      </w:r>
      <w:r w:rsidR="00736269" w:rsidRPr="009C1132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учреждению из бюджета </w:t>
      </w:r>
      <w:r w:rsidR="00736269" w:rsidRPr="009C113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 и средств, поступающих от приносящей доход деятельности.</w:t>
      </w:r>
    </w:p>
    <w:p w:rsidR="00B01D4D" w:rsidRPr="009C1132" w:rsidRDefault="00B01D4D" w:rsidP="004E59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5. Методика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формирования фонда оплаты труда работников </w:t>
      </w:r>
      <w:r w:rsidR="00EA33DF" w:rsidRPr="009C113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EA33DF"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учреждений, осуществляющих переданные полномочия Российской Федерации в области </w:t>
      </w:r>
      <w:r w:rsidR="007A7F87" w:rsidRPr="009C1132">
        <w:rPr>
          <w:rFonts w:ascii="Times New Roman" w:hAnsi="Times New Roman" w:cs="Times New Roman"/>
          <w:sz w:val="28"/>
          <w:szCs w:val="28"/>
        </w:rPr>
        <w:t>ВУС</w:t>
      </w:r>
      <w:r w:rsidRPr="009C1132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7A7F87" w:rsidRPr="009C1132">
        <w:rPr>
          <w:rFonts w:ascii="Times New Roman" w:hAnsi="Times New Roman" w:cs="Times New Roman"/>
          <w:sz w:val="28"/>
          <w:szCs w:val="28"/>
        </w:rPr>
        <w:t>администрацией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.</w:t>
      </w:r>
    </w:p>
    <w:p w:rsidR="00B01D4D" w:rsidRPr="009C1132" w:rsidRDefault="004E59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6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. Экономия </w:t>
      </w:r>
      <w:proofErr w:type="gramStart"/>
      <w:r w:rsidR="00B01D4D" w:rsidRPr="009C1132">
        <w:rPr>
          <w:rFonts w:ascii="Times New Roman" w:hAnsi="Times New Roman" w:cs="Times New Roman"/>
          <w:sz w:val="28"/>
          <w:szCs w:val="28"/>
        </w:rPr>
        <w:t xml:space="preserve">средств фонда оплаты труда работников </w:t>
      </w:r>
      <w:r w:rsidR="00B91A81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01D4D" w:rsidRPr="009C1132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B01D4D" w:rsidRPr="009C1132">
        <w:rPr>
          <w:rFonts w:ascii="Times New Roman" w:hAnsi="Times New Roman" w:cs="Times New Roman"/>
          <w:sz w:val="28"/>
          <w:szCs w:val="28"/>
        </w:rPr>
        <w:t xml:space="preserve"> может направляться на предоставление стимулирующих выплат.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B91A81" w:rsidRPr="009C1132">
        <w:rPr>
          <w:rFonts w:ascii="Times New Roman" w:hAnsi="Times New Roman" w:cs="Times New Roman"/>
          <w:sz w:val="28"/>
          <w:szCs w:val="28"/>
        </w:rPr>
        <w:t>Комитеты</w:t>
      </w:r>
      <w:r w:rsidR="00AC4F1A" w:rsidRPr="009C1132">
        <w:rPr>
          <w:rFonts w:ascii="Times New Roman" w:hAnsi="Times New Roman" w:cs="Times New Roman"/>
          <w:sz w:val="28"/>
          <w:szCs w:val="28"/>
        </w:rPr>
        <w:t xml:space="preserve"> и отделы </w:t>
      </w:r>
      <w:r w:rsidR="00B91A81" w:rsidRPr="009C1132">
        <w:rPr>
          <w:rFonts w:ascii="Times New Roman" w:hAnsi="Times New Roman" w:cs="Times New Roman"/>
          <w:sz w:val="28"/>
          <w:szCs w:val="28"/>
        </w:rPr>
        <w:t xml:space="preserve"> администрации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, на которые возложены координация и регулирование деятельности соответствующих отраслей и (или) которые осуществляют функции и полномочия учредителей </w:t>
      </w:r>
      <w:r w:rsidR="00EC4FB8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учреждений, устанавливают предельную долю оплаты труда работников административно-управленческого и вспомогательного персонала в фонде </w:t>
      </w:r>
      <w:r w:rsidRPr="009C1132">
        <w:rPr>
          <w:rFonts w:ascii="Times New Roman" w:hAnsi="Times New Roman" w:cs="Times New Roman"/>
          <w:sz w:val="28"/>
          <w:szCs w:val="28"/>
        </w:rPr>
        <w:lastRenderedPageBreak/>
        <w:t>оплат</w:t>
      </w:r>
      <w:r w:rsidR="004A29C4" w:rsidRPr="009C1132">
        <w:rPr>
          <w:rFonts w:ascii="Times New Roman" w:hAnsi="Times New Roman" w:cs="Times New Roman"/>
          <w:sz w:val="28"/>
          <w:szCs w:val="28"/>
        </w:rPr>
        <w:t>ы труда подведомственных муниципальных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 (не более 40 процентов), а также перечень должностей, относимых к административно-управленческому и вспомогательному персоналу этих учреждений.</w:t>
      </w:r>
      <w:proofErr w:type="gramEnd"/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C1C" w:rsidRDefault="00F04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ED4E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1D4D" w:rsidRPr="009C1132">
        <w:rPr>
          <w:rFonts w:ascii="Times New Roman" w:hAnsi="Times New Roman" w:cs="Times New Roman"/>
          <w:sz w:val="28"/>
          <w:szCs w:val="28"/>
        </w:rPr>
        <w:t>риложение N 4</w:t>
      </w:r>
    </w:p>
    <w:p w:rsidR="00C7089F" w:rsidRPr="009C1132" w:rsidRDefault="007E74CC" w:rsidP="00C70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постановлением а</w:t>
      </w:r>
      <w:r w:rsidR="00C7089F" w:rsidRPr="009C113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7089F" w:rsidRPr="009C1132" w:rsidRDefault="00C7089F" w:rsidP="00C70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C7089F" w:rsidRPr="009C1132" w:rsidRDefault="007E74CC" w:rsidP="00C708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от  27 декабря 2024 г. N1051</w:t>
      </w:r>
    </w:p>
    <w:p w:rsidR="00C7089F" w:rsidRPr="009C1132" w:rsidRDefault="00C708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677"/>
      <w:bookmarkEnd w:id="7"/>
      <w:r w:rsidRPr="009C1132">
        <w:rPr>
          <w:rFonts w:ascii="Times New Roman" w:hAnsi="Times New Roman" w:cs="Times New Roman"/>
          <w:sz w:val="28"/>
          <w:szCs w:val="28"/>
        </w:rPr>
        <w:t>ПОЛОЖЕНИЕ</w:t>
      </w: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О ПОРЯДКЕ И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 xml:space="preserve"> РУКОВОДИТЕЛЕЙ</w:t>
      </w:r>
    </w:p>
    <w:p w:rsidR="00B01D4D" w:rsidRPr="009C1132" w:rsidRDefault="00CF4B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МУНИЦИПА</w:t>
      </w:r>
      <w:r w:rsidR="00CA1C84" w:rsidRPr="009C1132">
        <w:rPr>
          <w:rFonts w:ascii="Times New Roman" w:hAnsi="Times New Roman" w:cs="Times New Roman"/>
          <w:sz w:val="28"/>
          <w:szCs w:val="28"/>
        </w:rPr>
        <w:t>ЛЬ</w:t>
      </w:r>
      <w:r w:rsidR="00B01D4D" w:rsidRPr="009C1132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CA1C84" w:rsidRPr="009C113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B01D4D" w:rsidRPr="009C1132">
        <w:rPr>
          <w:rFonts w:ascii="Times New Roman" w:hAnsi="Times New Roman" w:cs="Times New Roman"/>
          <w:sz w:val="28"/>
          <w:szCs w:val="28"/>
        </w:rPr>
        <w:t>ЗАБАЙКАЛЬСКОГО КРАЯ, ИХ</w:t>
      </w:r>
      <w:r w:rsidRPr="009C1132">
        <w:rPr>
          <w:rFonts w:ascii="Times New Roman" w:hAnsi="Times New Roman" w:cs="Times New Roman"/>
          <w:sz w:val="28"/>
          <w:szCs w:val="28"/>
        </w:rPr>
        <w:t xml:space="preserve"> </w:t>
      </w:r>
      <w:r w:rsidR="00B01D4D" w:rsidRPr="009C1132">
        <w:rPr>
          <w:rFonts w:ascii="Times New Roman" w:hAnsi="Times New Roman" w:cs="Times New Roman"/>
          <w:sz w:val="28"/>
          <w:szCs w:val="28"/>
        </w:rPr>
        <w:t>ЗАМЕСТИТЕЛЕЙ И ГЛАВНЫХ БУХГАЛТЕРОВ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512BB7" w:rsidRPr="009C11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12BB7" w:rsidRPr="009C1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BB7" w:rsidRPr="009C113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, (далее - </w:t>
      </w:r>
      <w:r w:rsidR="00B417D5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>ые учреждения), их заместителей и главных бухгалтеров при заключении с ними трудовых договоров.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</w:t>
      </w:r>
      <w:r w:rsidR="00B417D5" w:rsidRPr="009C11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1132">
        <w:rPr>
          <w:rFonts w:ascii="Times New Roman" w:hAnsi="Times New Roman" w:cs="Times New Roman"/>
          <w:sz w:val="28"/>
          <w:szCs w:val="28"/>
        </w:rPr>
        <w:t xml:space="preserve"> учреждения устанавливается </w:t>
      </w:r>
      <w:r w:rsidR="00B417D5" w:rsidRPr="009C1132">
        <w:rPr>
          <w:rFonts w:ascii="Times New Roman" w:hAnsi="Times New Roman" w:cs="Times New Roman"/>
          <w:sz w:val="28"/>
          <w:szCs w:val="28"/>
        </w:rPr>
        <w:t>комитетом администрации Тунгокоченского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 xml:space="preserve">, на который возложены координация и регулирование деятельности соответствующей отрасли и (или) который осуществляет функции и полномочия учредителя </w:t>
      </w:r>
      <w:r w:rsidR="00F3065B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>ого учреждения (далее - уполномоченный орган),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  <w:proofErr w:type="gramEnd"/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3. Стимулирующие выплаты руководителю </w:t>
      </w:r>
      <w:r w:rsidR="00F3065B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 xml:space="preserve">ого учреждения устанавливаются уполномоченным органом в процентах к должностному окладу или в абсолютных размерах в зависимости от достижения целевых показателей эффективности деятельности </w:t>
      </w:r>
      <w:r w:rsidR="00F3065B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>ого учреждения.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4. Размер должностного оклада заместителей руководителя </w:t>
      </w:r>
      <w:r w:rsidR="00856829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 xml:space="preserve">ого учреждения и главного бухгалтера устанавливается на 15 - 30 процентов ниже размера должностного оклада руководителя </w:t>
      </w:r>
      <w:r w:rsidR="00856829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>ого учреждения.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5. Стимулирующие выплаты заместителю руководителя</w:t>
      </w:r>
      <w:r w:rsidR="00856829" w:rsidRPr="009C113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C1132">
        <w:rPr>
          <w:rFonts w:ascii="Times New Roman" w:hAnsi="Times New Roman" w:cs="Times New Roman"/>
          <w:sz w:val="28"/>
          <w:szCs w:val="28"/>
        </w:rPr>
        <w:t xml:space="preserve">ого учреждения и главному бухгалтеру устанавливаются в зависимости от исполнения ими целевых показателей эффективности работы, устанавливаемых руководителем </w:t>
      </w:r>
      <w:r w:rsidR="00856829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 xml:space="preserve">ого учреждения, с учетом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достижения целевых показателей эффективности деятельности </w:t>
      </w:r>
      <w:r w:rsidR="00856829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>ого учреждения</w:t>
      </w:r>
      <w:proofErr w:type="gramEnd"/>
      <w:r w:rsidRPr="009C1132">
        <w:rPr>
          <w:rFonts w:ascii="Times New Roman" w:hAnsi="Times New Roman" w:cs="Times New Roman"/>
          <w:sz w:val="28"/>
          <w:szCs w:val="28"/>
        </w:rPr>
        <w:t>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6. Компенсационные выплаты, за исключением районного коэффициента к заработной плате и процентной надбавки к заработной плате, </w:t>
      </w:r>
      <w:r w:rsidRPr="009C1132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для руководителей </w:t>
      </w:r>
      <w:r w:rsidR="000C2FBB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>ых учреждений, их заместителей и главных бухгалтеров в процентах к должностному окладу или в абсолютных размерах в зависимости от условий труда в соответствии с действующим законодательством.</w:t>
      </w:r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Конкретный размер уровня соотношения среднемесячной заработной платы руководителей </w:t>
      </w:r>
      <w:r w:rsidR="000C2FBB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 xml:space="preserve">ых учреждений, их заместителей и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0C2FBB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 xml:space="preserve">ых учреждений (без учета заработной платы соответствующего руководителя, его заместителей, главного бухгалтера) устанавливается уполномоченным органом в размерах согласно </w:t>
      </w:r>
      <w:hyperlink w:anchor="P16">
        <w:r w:rsidRPr="009C1132">
          <w:rPr>
            <w:rFonts w:ascii="Times New Roman" w:hAnsi="Times New Roman" w:cs="Times New Roman"/>
            <w:sz w:val="28"/>
            <w:szCs w:val="28"/>
          </w:rPr>
          <w:t>пункту 6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  <w:proofErr w:type="gramEnd"/>
    </w:p>
    <w:p w:rsidR="00B01D4D" w:rsidRPr="009C1132" w:rsidRDefault="00B01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C1132">
        <w:rPr>
          <w:rFonts w:ascii="Times New Roman" w:hAnsi="Times New Roman" w:cs="Times New Roman"/>
          <w:sz w:val="28"/>
          <w:szCs w:val="28"/>
        </w:rPr>
        <w:t xml:space="preserve">Увеличение размера уровня соотношения среднемесячной заработной платы руководителей </w:t>
      </w:r>
      <w:r w:rsidR="00CD414A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 xml:space="preserve">ых учреждений,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CD414A" w:rsidRPr="009C1132">
        <w:rPr>
          <w:rFonts w:ascii="Times New Roman" w:hAnsi="Times New Roman" w:cs="Times New Roman"/>
          <w:sz w:val="28"/>
          <w:szCs w:val="28"/>
        </w:rPr>
        <w:t>муниципальн</w:t>
      </w:r>
      <w:r w:rsidRPr="009C1132">
        <w:rPr>
          <w:rFonts w:ascii="Times New Roman" w:hAnsi="Times New Roman" w:cs="Times New Roman"/>
          <w:sz w:val="28"/>
          <w:szCs w:val="28"/>
        </w:rPr>
        <w:t xml:space="preserve">ых учреждений (без учета заработной платы соответствующего руководителя, его заместителей, главного бухгалтера) выше предельного уровня такого соотношения, установленного согласно </w:t>
      </w:r>
      <w:hyperlink w:anchor="P16">
        <w:r w:rsidRPr="009C1132">
          <w:rPr>
            <w:rFonts w:ascii="Times New Roman" w:hAnsi="Times New Roman" w:cs="Times New Roman"/>
            <w:sz w:val="28"/>
            <w:szCs w:val="28"/>
          </w:rPr>
          <w:t>пункту 6</w:t>
        </w:r>
      </w:hyperlink>
      <w:r w:rsidRPr="009C1132">
        <w:rPr>
          <w:rFonts w:ascii="Times New Roman" w:hAnsi="Times New Roman" w:cs="Times New Roman"/>
          <w:sz w:val="28"/>
          <w:szCs w:val="28"/>
        </w:rPr>
        <w:t xml:space="preserve"> настоящего постановления, согласуется уполномоченным органом с </w:t>
      </w:r>
      <w:r w:rsidR="00B2391E" w:rsidRPr="009C1132">
        <w:rPr>
          <w:rFonts w:ascii="Times New Roman" w:hAnsi="Times New Roman" w:cs="Times New Roman"/>
          <w:sz w:val="28"/>
          <w:szCs w:val="28"/>
        </w:rPr>
        <w:t>главой Тунгокоченского</w:t>
      </w:r>
      <w:proofErr w:type="gramEnd"/>
      <w:r w:rsidR="00B2391E" w:rsidRPr="009C113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C1132">
        <w:rPr>
          <w:rFonts w:ascii="Times New Roman" w:hAnsi="Times New Roman" w:cs="Times New Roman"/>
          <w:sz w:val="28"/>
          <w:szCs w:val="28"/>
        </w:rPr>
        <w:t>.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1D0B7C" w:rsidRPr="009C1132" w:rsidRDefault="00B55219" w:rsidP="001D0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П</w:t>
      </w:r>
      <w:r w:rsidR="001D0B7C" w:rsidRPr="009C1132">
        <w:rPr>
          <w:rFonts w:ascii="Times New Roman" w:hAnsi="Times New Roman" w:cs="Times New Roman"/>
          <w:sz w:val="28"/>
          <w:szCs w:val="28"/>
        </w:rPr>
        <w:t>остановлением</w:t>
      </w:r>
      <w:r w:rsidRPr="009C1132">
        <w:rPr>
          <w:rFonts w:ascii="Times New Roman" w:hAnsi="Times New Roman" w:cs="Times New Roman"/>
          <w:sz w:val="28"/>
          <w:szCs w:val="28"/>
        </w:rPr>
        <w:t xml:space="preserve"> а</w:t>
      </w:r>
      <w:r w:rsidR="001D0B7C" w:rsidRPr="009C113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D0B7C" w:rsidRPr="009C1132" w:rsidRDefault="001D0B7C" w:rsidP="001D0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1D0B7C" w:rsidRPr="009C1132" w:rsidRDefault="00B55219" w:rsidP="001D0B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от 27 декабря</w:t>
      </w:r>
      <w:r w:rsidR="00457715" w:rsidRPr="009C1132">
        <w:rPr>
          <w:rFonts w:ascii="Times New Roman" w:hAnsi="Times New Roman" w:cs="Times New Roman"/>
          <w:sz w:val="28"/>
          <w:szCs w:val="28"/>
        </w:rPr>
        <w:t xml:space="preserve"> 2024 г. N 1051</w:t>
      </w:r>
    </w:p>
    <w:p w:rsidR="001D0B7C" w:rsidRPr="009C1132" w:rsidRDefault="001D0B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700"/>
      <w:bookmarkEnd w:id="8"/>
      <w:r w:rsidRPr="009C1132">
        <w:rPr>
          <w:rFonts w:ascii="Times New Roman" w:hAnsi="Times New Roman" w:cs="Times New Roman"/>
          <w:sz w:val="28"/>
          <w:szCs w:val="28"/>
        </w:rPr>
        <w:t>ПЕРЕЧЕНЬ</w:t>
      </w: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>УТРАТИВШИХ СИЛУ ПОСТАНОВЛЕНИЙ И ОТДЕЛЬНЫХ ПОЛОЖЕНИЙ</w:t>
      </w:r>
    </w:p>
    <w:p w:rsidR="00B01D4D" w:rsidRPr="009C1132" w:rsidRDefault="00B01D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132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1D0B7C" w:rsidRPr="009C11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1CC0" w:rsidRPr="009C113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57715" w:rsidRPr="009C1132">
        <w:rPr>
          <w:rFonts w:ascii="Times New Roman" w:hAnsi="Times New Roman" w:cs="Times New Roman"/>
          <w:sz w:val="28"/>
          <w:szCs w:val="28"/>
        </w:rPr>
        <w:t>«</w:t>
      </w:r>
      <w:r w:rsidR="001D0B7C" w:rsidRPr="009C1132">
        <w:rPr>
          <w:rFonts w:ascii="Times New Roman" w:hAnsi="Times New Roman" w:cs="Times New Roman"/>
          <w:sz w:val="28"/>
          <w:szCs w:val="28"/>
        </w:rPr>
        <w:t>ТУНГОКОЧЕНСК</w:t>
      </w:r>
      <w:r w:rsidR="009F1CC0" w:rsidRPr="009C1132">
        <w:rPr>
          <w:rFonts w:ascii="Times New Roman" w:hAnsi="Times New Roman" w:cs="Times New Roman"/>
          <w:sz w:val="28"/>
          <w:szCs w:val="28"/>
        </w:rPr>
        <w:t>ИЙ РАЙОН</w:t>
      </w:r>
      <w:r w:rsidR="00457715" w:rsidRPr="009C1132">
        <w:rPr>
          <w:rFonts w:ascii="Times New Roman" w:hAnsi="Times New Roman" w:cs="Times New Roman"/>
          <w:sz w:val="28"/>
          <w:szCs w:val="28"/>
        </w:rPr>
        <w:t>»</w:t>
      </w: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F67" w:rsidRPr="009C1132" w:rsidRDefault="001B2E9F" w:rsidP="001B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1E7B80" w:rsidRPr="009C113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  Постановление администрации муниципального района "</w:t>
      </w:r>
      <w:proofErr w:type="spellStart"/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>Тунгокоченский</w:t>
      </w:r>
      <w:proofErr w:type="spellEnd"/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район" от 23.04.2018 года  № 181 </w:t>
      </w:r>
      <w:r w:rsidR="008E6F67"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«Об утверждении </w:t>
      </w:r>
      <w:hyperlink r:id="rId21" w:history="1">
        <w:r w:rsidR="008E6F67" w:rsidRPr="009C1132">
          <w:rPr>
            <w:rFonts w:ascii="Times New Roman" w:eastAsiaTheme="minorHAnsi" w:hAnsi="Times New Roman"/>
            <w:sz w:val="28"/>
            <w:szCs w:val="28"/>
            <w:lang w:eastAsia="en-US"/>
          </w:rPr>
          <w:t>Положения</w:t>
        </w:r>
      </w:hyperlink>
      <w:r w:rsidR="008E6F67"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премировании и стимулирующих выплатах руководителям муниципальных казенных учреждений культуры и учреждений дополнительного образования сферы культуры муниципального района "</w:t>
      </w:r>
      <w:proofErr w:type="spellStart"/>
      <w:r w:rsidR="008E6F67" w:rsidRPr="009C1132">
        <w:rPr>
          <w:rFonts w:ascii="Times New Roman" w:eastAsiaTheme="minorHAnsi" w:hAnsi="Times New Roman"/>
          <w:sz w:val="28"/>
          <w:szCs w:val="28"/>
          <w:lang w:eastAsia="en-US"/>
        </w:rPr>
        <w:t>Тунгокоченский</w:t>
      </w:r>
      <w:proofErr w:type="spellEnd"/>
      <w:r w:rsidR="008E6F67"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район"</w:t>
      </w: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817D4" w:rsidRPr="009C113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66765" w:rsidRPr="009C1132" w:rsidRDefault="00666765" w:rsidP="0066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1E7B80" w:rsidRPr="009C113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 Постановление администрации муниципального района "</w:t>
      </w:r>
      <w:proofErr w:type="spellStart"/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>Тунгокоченский</w:t>
      </w:r>
      <w:proofErr w:type="spellEnd"/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район" от</w:t>
      </w:r>
      <w:r w:rsidR="003D08C1"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20.02</w:t>
      </w: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.2017 года  № 54 </w:t>
      </w:r>
      <w:r w:rsidR="003D08C1" w:rsidRPr="009C1132">
        <w:rPr>
          <w:rFonts w:ascii="Times New Roman" w:eastAsiaTheme="minorHAnsi" w:hAnsi="Times New Roman"/>
          <w:sz w:val="28"/>
          <w:szCs w:val="28"/>
          <w:lang w:eastAsia="en-US"/>
        </w:rPr>
        <w:t>« Об у</w:t>
      </w: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>станов</w:t>
      </w:r>
      <w:r w:rsidR="003D08C1" w:rsidRPr="009C1132">
        <w:rPr>
          <w:rFonts w:ascii="Times New Roman" w:eastAsiaTheme="minorHAnsi" w:hAnsi="Times New Roman"/>
          <w:sz w:val="28"/>
          <w:szCs w:val="28"/>
          <w:lang w:eastAsia="en-US"/>
        </w:rPr>
        <w:t>лении</w:t>
      </w: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предельн</w:t>
      </w:r>
      <w:r w:rsidR="003D08C1" w:rsidRPr="009C1132">
        <w:rPr>
          <w:rFonts w:ascii="Times New Roman" w:eastAsiaTheme="minorHAnsi" w:hAnsi="Times New Roman"/>
          <w:sz w:val="28"/>
          <w:szCs w:val="28"/>
          <w:lang w:eastAsia="en-US"/>
        </w:rPr>
        <w:t>ого уровня</w:t>
      </w: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учреждений, предприятий муниципального района "</w:t>
      </w:r>
      <w:proofErr w:type="spellStart"/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>Тунгокоченский</w:t>
      </w:r>
      <w:proofErr w:type="spellEnd"/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район"</w:t>
      </w:r>
      <w:r w:rsidR="003D08C1" w:rsidRPr="009C1132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AF7760" w:rsidRPr="009C1132" w:rsidRDefault="00AF7760" w:rsidP="00AF77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1E7B80"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Постановление администрации муниципального района "</w:t>
      </w:r>
      <w:proofErr w:type="spellStart"/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>Тунгокоченский</w:t>
      </w:r>
      <w:proofErr w:type="spellEnd"/>
      <w:r w:rsidRPr="009C113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район" от 23.04.2018 года  № 181 </w:t>
      </w:r>
      <w:r w:rsidR="0028000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C1132">
        <w:rPr>
          <w:rFonts w:ascii="Times New Roman" w:hAnsi="Times New Roman"/>
          <w:sz w:val="28"/>
          <w:szCs w:val="28"/>
        </w:rPr>
        <w:t>О некоторых вопросах реализации Решения Совета муниципального района «</w:t>
      </w:r>
      <w:proofErr w:type="spellStart"/>
      <w:r w:rsidRPr="009C1132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9C1132">
        <w:rPr>
          <w:rFonts w:ascii="Times New Roman" w:hAnsi="Times New Roman"/>
          <w:sz w:val="28"/>
          <w:szCs w:val="28"/>
        </w:rPr>
        <w:t xml:space="preserve"> район» № 23 </w:t>
      </w:r>
      <w:r w:rsidR="001C505E" w:rsidRPr="009C1132">
        <w:rPr>
          <w:rFonts w:ascii="Times New Roman" w:hAnsi="Times New Roman"/>
          <w:sz w:val="28"/>
          <w:szCs w:val="28"/>
        </w:rPr>
        <w:t>от 27.01</w:t>
      </w:r>
      <w:r w:rsidRPr="009C1132">
        <w:rPr>
          <w:rFonts w:ascii="Times New Roman" w:hAnsi="Times New Roman"/>
          <w:sz w:val="28"/>
          <w:szCs w:val="28"/>
        </w:rPr>
        <w:t>.20</w:t>
      </w:r>
      <w:r w:rsidR="001C505E" w:rsidRPr="009C1132">
        <w:rPr>
          <w:rFonts w:ascii="Times New Roman" w:hAnsi="Times New Roman"/>
          <w:sz w:val="28"/>
          <w:szCs w:val="28"/>
        </w:rPr>
        <w:t>10</w:t>
      </w:r>
      <w:r w:rsidRPr="009C1132">
        <w:rPr>
          <w:rFonts w:ascii="Times New Roman" w:hAnsi="Times New Roman"/>
          <w:sz w:val="28"/>
          <w:szCs w:val="28"/>
        </w:rPr>
        <w:t xml:space="preserve"> года «О принятии Положения «Об оплате труда работников муниципальных учреждений, финансируемых из бюджета муниципального района «</w:t>
      </w:r>
      <w:proofErr w:type="spellStart"/>
      <w:r w:rsidRPr="009C1132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Pr="009C1132">
        <w:rPr>
          <w:rFonts w:ascii="Times New Roman" w:hAnsi="Times New Roman"/>
          <w:sz w:val="28"/>
          <w:szCs w:val="28"/>
        </w:rPr>
        <w:t xml:space="preserve"> район»».</w:t>
      </w:r>
    </w:p>
    <w:p w:rsidR="00666765" w:rsidRPr="009C1132" w:rsidRDefault="00666765" w:rsidP="001B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F7760" w:rsidRPr="009C1132" w:rsidRDefault="00AF7760" w:rsidP="00AF776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66765" w:rsidRPr="009C1132" w:rsidRDefault="00666765" w:rsidP="001B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4D" w:rsidRPr="009C1132" w:rsidRDefault="00B0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92" w:rsidRPr="009C1132" w:rsidRDefault="00CE3F92">
      <w:pPr>
        <w:rPr>
          <w:rFonts w:ascii="Times New Roman" w:hAnsi="Times New Roman"/>
          <w:sz w:val="28"/>
          <w:szCs w:val="28"/>
        </w:rPr>
      </w:pPr>
    </w:p>
    <w:sectPr w:rsidR="00CE3F92" w:rsidRPr="009C1132" w:rsidSect="005B7CC5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A3" w:rsidRDefault="004B1DA3" w:rsidP="00947CDF">
      <w:pPr>
        <w:spacing w:after="0" w:line="240" w:lineRule="auto"/>
      </w:pPr>
      <w:r>
        <w:separator/>
      </w:r>
    </w:p>
  </w:endnote>
  <w:endnote w:type="continuationSeparator" w:id="0">
    <w:p w:rsidR="004B1DA3" w:rsidRDefault="004B1DA3" w:rsidP="009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A3" w:rsidRDefault="004B1DA3" w:rsidP="00947CDF">
      <w:pPr>
        <w:spacing w:after="0" w:line="240" w:lineRule="auto"/>
      </w:pPr>
      <w:r>
        <w:separator/>
      </w:r>
    </w:p>
  </w:footnote>
  <w:footnote w:type="continuationSeparator" w:id="0">
    <w:p w:rsidR="004B1DA3" w:rsidRDefault="004B1DA3" w:rsidP="00947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D4D"/>
    <w:rsid w:val="000155B9"/>
    <w:rsid w:val="00034851"/>
    <w:rsid w:val="000373DF"/>
    <w:rsid w:val="0005029B"/>
    <w:rsid w:val="00054328"/>
    <w:rsid w:val="00080B7F"/>
    <w:rsid w:val="0009528D"/>
    <w:rsid w:val="000A1061"/>
    <w:rsid w:val="000C2FBB"/>
    <w:rsid w:val="000E30A5"/>
    <w:rsid w:val="000E7967"/>
    <w:rsid w:val="00145831"/>
    <w:rsid w:val="00146D18"/>
    <w:rsid w:val="00173FAB"/>
    <w:rsid w:val="00184102"/>
    <w:rsid w:val="00184DD2"/>
    <w:rsid w:val="0019127B"/>
    <w:rsid w:val="00195608"/>
    <w:rsid w:val="001A59C5"/>
    <w:rsid w:val="001B21F3"/>
    <w:rsid w:val="001B2E9F"/>
    <w:rsid w:val="001C505E"/>
    <w:rsid w:val="001C7ED3"/>
    <w:rsid w:val="001D0B7C"/>
    <w:rsid w:val="001D1761"/>
    <w:rsid w:val="001D66F5"/>
    <w:rsid w:val="001E0809"/>
    <w:rsid w:val="001E48CA"/>
    <w:rsid w:val="001E6B54"/>
    <w:rsid w:val="001E7B80"/>
    <w:rsid w:val="0020029A"/>
    <w:rsid w:val="00213666"/>
    <w:rsid w:val="002210FA"/>
    <w:rsid w:val="0022657C"/>
    <w:rsid w:val="002270C2"/>
    <w:rsid w:val="00231133"/>
    <w:rsid w:val="00235E0E"/>
    <w:rsid w:val="0025226F"/>
    <w:rsid w:val="00265676"/>
    <w:rsid w:val="00280004"/>
    <w:rsid w:val="002932E8"/>
    <w:rsid w:val="002A41BD"/>
    <w:rsid w:val="002A6E71"/>
    <w:rsid w:val="002B5169"/>
    <w:rsid w:val="002D7DE0"/>
    <w:rsid w:val="002E2938"/>
    <w:rsid w:val="002F3617"/>
    <w:rsid w:val="002F4E02"/>
    <w:rsid w:val="0030583A"/>
    <w:rsid w:val="00325679"/>
    <w:rsid w:val="00327DB7"/>
    <w:rsid w:val="003303A3"/>
    <w:rsid w:val="00332FBE"/>
    <w:rsid w:val="00355CA0"/>
    <w:rsid w:val="00357A6B"/>
    <w:rsid w:val="003600C2"/>
    <w:rsid w:val="00371BD9"/>
    <w:rsid w:val="003747F4"/>
    <w:rsid w:val="00377E00"/>
    <w:rsid w:val="003817D4"/>
    <w:rsid w:val="00397856"/>
    <w:rsid w:val="003A29E7"/>
    <w:rsid w:val="003B7608"/>
    <w:rsid w:val="003C404C"/>
    <w:rsid w:val="003D08C1"/>
    <w:rsid w:val="003D31CF"/>
    <w:rsid w:val="003D3300"/>
    <w:rsid w:val="003D37A2"/>
    <w:rsid w:val="003D3AFF"/>
    <w:rsid w:val="004057C3"/>
    <w:rsid w:val="00412C66"/>
    <w:rsid w:val="00423F75"/>
    <w:rsid w:val="00426360"/>
    <w:rsid w:val="00441662"/>
    <w:rsid w:val="00443267"/>
    <w:rsid w:val="004474AA"/>
    <w:rsid w:val="00447FAA"/>
    <w:rsid w:val="004503C3"/>
    <w:rsid w:val="00450856"/>
    <w:rsid w:val="0045589E"/>
    <w:rsid w:val="00457715"/>
    <w:rsid w:val="00466A66"/>
    <w:rsid w:val="00485CDB"/>
    <w:rsid w:val="004A150F"/>
    <w:rsid w:val="004A157C"/>
    <w:rsid w:val="004A1ACA"/>
    <w:rsid w:val="004A29C4"/>
    <w:rsid w:val="004B1DA3"/>
    <w:rsid w:val="004D0409"/>
    <w:rsid w:val="004D5ED4"/>
    <w:rsid w:val="004E13B5"/>
    <w:rsid w:val="004E5929"/>
    <w:rsid w:val="004E6363"/>
    <w:rsid w:val="00502FC7"/>
    <w:rsid w:val="00512BB7"/>
    <w:rsid w:val="00515BAD"/>
    <w:rsid w:val="00524066"/>
    <w:rsid w:val="00552DBC"/>
    <w:rsid w:val="00555A06"/>
    <w:rsid w:val="00570F32"/>
    <w:rsid w:val="00584519"/>
    <w:rsid w:val="00593334"/>
    <w:rsid w:val="00596ECA"/>
    <w:rsid w:val="005A40CA"/>
    <w:rsid w:val="005B7CC5"/>
    <w:rsid w:val="005C081F"/>
    <w:rsid w:val="005D4321"/>
    <w:rsid w:val="005F6FE5"/>
    <w:rsid w:val="005F7765"/>
    <w:rsid w:val="0061118C"/>
    <w:rsid w:val="00621E37"/>
    <w:rsid w:val="00622DA9"/>
    <w:rsid w:val="0062301B"/>
    <w:rsid w:val="00623B62"/>
    <w:rsid w:val="00630E6A"/>
    <w:rsid w:val="00631FF3"/>
    <w:rsid w:val="00633B99"/>
    <w:rsid w:val="00634FDA"/>
    <w:rsid w:val="006453E2"/>
    <w:rsid w:val="00652101"/>
    <w:rsid w:val="006603F7"/>
    <w:rsid w:val="00663067"/>
    <w:rsid w:val="0066583A"/>
    <w:rsid w:val="00666765"/>
    <w:rsid w:val="00683002"/>
    <w:rsid w:val="00693D3F"/>
    <w:rsid w:val="00696E61"/>
    <w:rsid w:val="006A11F2"/>
    <w:rsid w:val="006A2059"/>
    <w:rsid w:val="006A48A2"/>
    <w:rsid w:val="006D342E"/>
    <w:rsid w:val="006E47B5"/>
    <w:rsid w:val="006F49E0"/>
    <w:rsid w:val="0070338A"/>
    <w:rsid w:val="00703F39"/>
    <w:rsid w:val="007043FA"/>
    <w:rsid w:val="007124BB"/>
    <w:rsid w:val="00714E08"/>
    <w:rsid w:val="007151D3"/>
    <w:rsid w:val="00723BAB"/>
    <w:rsid w:val="0073477C"/>
    <w:rsid w:val="0073524B"/>
    <w:rsid w:val="00736269"/>
    <w:rsid w:val="007620F0"/>
    <w:rsid w:val="00797194"/>
    <w:rsid w:val="007A7424"/>
    <w:rsid w:val="007A7F87"/>
    <w:rsid w:val="007B0697"/>
    <w:rsid w:val="007C5F38"/>
    <w:rsid w:val="007D701D"/>
    <w:rsid w:val="007E26E2"/>
    <w:rsid w:val="007E59A4"/>
    <w:rsid w:val="007E6EB2"/>
    <w:rsid w:val="007E74CC"/>
    <w:rsid w:val="007F2FDA"/>
    <w:rsid w:val="0080534C"/>
    <w:rsid w:val="00815A8C"/>
    <w:rsid w:val="00821DF2"/>
    <w:rsid w:val="00822934"/>
    <w:rsid w:val="008250B1"/>
    <w:rsid w:val="00831294"/>
    <w:rsid w:val="00835B41"/>
    <w:rsid w:val="00836646"/>
    <w:rsid w:val="0084049C"/>
    <w:rsid w:val="008420A7"/>
    <w:rsid w:val="00845476"/>
    <w:rsid w:val="00856829"/>
    <w:rsid w:val="008657E7"/>
    <w:rsid w:val="008753EE"/>
    <w:rsid w:val="008770DA"/>
    <w:rsid w:val="00880E42"/>
    <w:rsid w:val="008821BC"/>
    <w:rsid w:val="00884FF4"/>
    <w:rsid w:val="00894CA5"/>
    <w:rsid w:val="008A75BC"/>
    <w:rsid w:val="008B0A8C"/>
    <w:rsid w:val="008B5929"/>
    <w:rsid w:val="008C7624"/>
    <w:rsid w:val="008D053C"/>
    <w:rsid w:val="008D77A1"/>
    <w:rsid w:val="008E6F67"/>
    <w:rsid w:val="008F13F8"/>
    <w:rsid w:val="008F6ECF"/>
    <w:rsid w:val="00920973"/>
    <w:rsid w:val="00922B1D"/>
    <w:rsid w:val="00945A89"/>
    <w:rsid w:val="00947CDF"/>
    <w:rsid w:val="00952A6E"/>
    <w:rsid w:val="00963911"/>
    <w:rsid w:val="009714B9"/>
    <w:rsid w:val="00994544"/>
    <w:rsid w:val="009A6B6D"/>
    <w:rsid w:val="009B47E9"/>
    <w:rsid w:val="009C1132"/>
    <w:rsid w:val="009C5081"/>
    <w:rsid w:val="009D04AB"/>
    <w:rsid w:val="009D090C"/>
    <w:rsid w:val="009D71BC"/>
    <w:rsid w:val="009E4147"/>
    <w:rsid w:val="009F1BA5"/>
    <w:rsid w:val="009F1CC0"/>
    <w:rsid w:val="00A030D3"/>
    <w:rsid w:val="00A05358"/>
    <w:rsid w:val="00A10425"/>
    <w:rsid w:val="00A16AA1"/>
    <w:rsid w:val="00A3001E"/>
    <w:rsid w:val="00A431C5"/>
    <w:rsid w:val="00A52C8C"/>
    <w:rsid w:val="00A716E7"/>
    <w:rsid w:val="00A71C51"/>
    <w:rsid w:val="00A80538"/>
    <w:rsid w:val="00A82104"/>
    <w:rsid w:val="00A9113B"/>
    <w:rsid w:val="00A93E43"/>
    <w:rsid w:val="00AB264D"/>
    <w:rsid w:val="00AC4F1A"/>
    <w:rsid w:val="00AD29BA"/>
    <w:rsid w:val="00AD4C96"/>
    <w:rsid w:val="00AE1D14"/>
    <w:rsid w:val="00AE2093"/>
    <w:rsid w:val="00AF7760"/>
    <w:rsid w:val="00B01082"/>
    <w:rsid w:val="00B01D4D"/>
    <w:rsid w:val="00B03363"/>
    <w:rsid w:val="00B05D69"/>
    <w:rsid w:val="00B1220C"/>
    <w:rsid w:val="00B15689"/>
    <w:rsid w:val="00B205BF"/>
    <w:rsid w:val="00B2391E"/>
    <w:rsid w:val="00B417D5"/>
    <w:rsid w:val="00B43C8F"/>
    <w:rsid w:val="00B55219"/>
    <w:rsid w:val="00B61B25"/>
    <w:rsid w:val="00B726BA"/>
    <w:rsid w:val="00B77244"/>
    <w:rsid w:val="00B80970"/>
    <w:rsid w:val="00B83551"/>
    <w:rsid w:val="00B868DF"/>
    <w:rsid w:val="00B9124E"/>
    <w:rsid w:val="00B91A81"/>
    <w:rsid w:val="00B9458F"/>
    <w:rsid w:val="00BA1893"/>
    <w:rsid w:val="00BA2C7A"/>
    <w:rsid w:val="00BA7C5E"/>
    <w:rsid w:val="00BD4D86"/>
    <w:rsid w:val="00BE0FF5"/>
    <w:rsid w:val="00BE3434"/>
    <w:rsid w:val="00BF2049"/>
    <w:rsid w:val="00BF3467"/>
    <w:rsid w:val="00C000B7"/>
    <w:rsid w:val="00C05F5D"/>
    <w:rsid w:val="00C1395B"/>
    <w:rsid w:val="00C14768"/>
    <w:rsid w:val="00C15756"/>
    <w:rsid w:val="00C25F9D"/>
    <w:rsid w:val="00C35847"/>
    <w:rsid w:val="00C50AC5"/>
    <w:rsid w:val="00C60D78"/>
    <w:rsid w:val="00C611B3"/>
    <w:rsid w:val="00C624AC"/>
    <w:rsid w:val="00C7089F"/>
    <w:rsid w:val="00C97355"/>
    <w:rsid w:val="00CA1A00"/>
    <w:rsid w:val="00CA1C84"/>
    <w:rsid w:val="00CA1D58"/>
    <w:rsid w:val="00CB5D84"/>
    <w:rsid w:val="00CD284F"/>
    <w:rsid w:val="00CD414A"/>
    <w:rsid w:val="00CE3210"/>
    <w:rsid w:val="00CE3F92"/>
    <w:rsid w:val="00CE6360"/>
    <w:rsid w:val="00CF481A"/>
    <w:rsid w:val="00CF4B1F"/>
    <w:rsid w:val="00D35274"/>
    <w:rsid w:val="00D43617"/>
    <w:rsid w:val="00D507D6"/>
    <w:rsid w:val="00D6174A"/>
    <w:rsid w:val="00D72CA1"/>
    <w:rsid w:val="00D74D2E"/>
    <w:rsid w:val="00D820F9"/>
    <w:rsid w:val="00D84D57"/>
    <w:rsid w:val="00DA6F9A"/>
    <w:rsid w:val="00DB5263"/>
    <w:rsid w:val="00DB5769"/>
    <w:rsid w:val="00DC55E4"/>
    <w:rsid w:val="00DD74A0"/>
    <w:rsid w:val="00DE6DE0"/>
    <w:rsid w:val="00DF36ED"/>
    <w:rsid w:val="00DF7342"/>
    <w:rsid w:val="00E01800"/>
    <w:rsid w:val="00E05F78"/>
    <w:rsid w:val="00E13F25"/>
    <w:rsid w:val="00E17B43"/>
    <w:rsid w:val="00E30CA4"/>
    <w:rsid w:val="00E43C6E"/>
    <w:rsid w:val="00E5158D"/>
    <w:rsid w:val="00E56881"/>
    <w:rsid w:val="00E62F93"/>
    <w:rsid w:val="00E73100"/>
    <w:rsid w:val="00E757C7"/>
    <w:rsid w:val="00E77698"/>
    <w:rsid w:val="00EA1F7E"/>
    <w:rsid w:val="00EA20F8"/>
    <w:rsid w:val="00EA33DF"/>
    <w:rsid w:val="00EA553D"/>
    <w:rsid w:val="00EB06F9"/>
    <w:rsid w:val="00EC4FB8"/>
    <w:rsid w:val="00ED0821"/>
    <w:rsid w:val="00ED4E74"/>
    <w:rsid w:val="00EE0828"/>
    <w:rsid w:val="00EF3320"/>
    <w:rsid w:val="00EF3A48"/>
    <w:rsid w:val="00EF419C"/>
    <w:rsid w:val="00F04C1C"/>
    <w:rsid w:val="00F07D3E"/>
    <w:rsid w:val="00F1406A"/>
    <w:rsid w:val="00F3065B"/>
    <w:rsid w:val="00F3121C"/>
    <w:rsid w:val="00F368A6"/>
    <w:rsid w:val="00F403C8"/>
    <w:rsid w:val="00F425C5"/>
    <w:rsid w:val="00F43FD0"/>
    <w:rsid w:val="00F6350D"/>
    <w:rsid w:val="00F8031B"/>
    <w:rsid w:val="00FA74F7"/>
    <w:rsid w:val="00FC00E9"/>
    <w:rsid w:val="00FD003A"/>
    <w:rsid w:val="00FE0B61"/>
    <w:rsid w:val="00FE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C5"/>
    <w:pPr>
      <w:spacing w:before="0"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7CC5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 w:val="32"/>
      <w:szCs w:val="20"/>
      <w:lang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D4D"/>
    <w:pPr>
      <w:widowControl w:val="0"/>
      <w:autoSpaceDE w:val="0"/>
      <w:autoSpaceDN w:val="0"/>
      <w:spacing w:before="0"/>
      <w:ind w:left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1D4D"/>
    <w:pPr>
      <w:widowControl w:val="0"/>
      <w:autoSpaceDE w:val="0"/>
      <w:autoSpaceDN w:val="0"/>
      <w:spacing w:before="0"/>
      <w:ind w:left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1D4D"/>
    <w:pPr>
      <w:widowControl w:val="0"/>
      <w:autoSpaceDE w:val="0"/>
      <w:autoSpaceDN w:val="0"/>
      <w:spacing w:before="0"/>
      <w:ind w:left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01D4D"/>
    <w:pPr>
      <w:widowControl w:val="0"/>
      <w:autoSpaceDE w:val="0"/>
      <w:autoSpaceDN w:val="0"/>
      <w:spacing w:before="0"/>
      <w:ind w:left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1D4D"/>
    <w:pPr>
      <w:widowControl w:val="0"/>
      <w:autoSpaceDE w:val="0"/>
      <w:autoSpaceDN w:val="0"/>
      <w:spacing w:before="0"/>
      <w:ind w:left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01D4D"/>
    <w:pPr>
      <w:widowControl w:val="0"/>
      <w:autoSpaceDE w:val="0"/>
      <w:autoSpaceDN w:val="0"/>
      <w:spacing w:before="0"/>
      <w:ind w:left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1D4D"/>
    <w:pPr>
      <w:widowControl w:val="0"/>
      <w:autoSpaceDE w:val="0"/>
      <w:autoSpaceDN w:val="0"/>
      <w:spacing w:before="0"/>
      <w:ind w:left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1D4D"/>
    <w:pPr>
      <w:widowControl w:val="0"/>
      <w:autoSpaceDE w:val="0"/>
      <w:autoSpaceDN w:val="0"/>
      <w:spacing w:before="0"/>
      <w:ind w:left="0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5B7CC5"/>
    <w:rPr>
      <w:rFonts w:ascii="Times New Roman" w:eastAsia="Times New Roman" w:hAnsi="Times New Roman" w:cs="Times New Roman"/>
      <w:b/>
      <w:noProof/>
      <w:sz w:val="32"/>
      <w:szCs w:val="20"/>
      <w:lang w:eastAsia="fr-CH"/>
    </w:rPr>
  </w:style>
  <w:style w:type="paragraph" w:customStyle="1" w:styleId="ConsNormal">
    <w:name w:val="ConsNormal"/>
    <w:rsid w:val="007C5F38"/>
    <w:pPr>
      <w:widowControl w:val="0"/>
      <w:autoSpaceDE w:val="0"/>
      <w:autoSpaceDN w:val="0"/>
      <w:adjustRightInd w:val="0"/>
      <w:spacing w:before="0"/>
      <w:ind w:left="0"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1"/>
    <w:qFormat/>
    <w:rsid w:val="007C5F38"/>
    <w:pPr>
      <w:widowControl w:val="0"/>
      <w:autoSpaceDE w:val="0"/>
      <w:autoSpaceDN w:val="0"/>
      <w:spacing w:after="0" w:line="240" w:lineRule="auto"/>
      <w:ind w:left="588" w:right="102" w:firstLine="720"/>
      <w:jc w:val="both"/>
    </w:pPr>
    <w:rPr>
      <w:rFonts w:ascii="Times New Roman" w:hAnsi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4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CD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C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A979A923D17A237E85F217EFF2777645D91BFA8A64D4CA16C8EE0B1EC815B8D8495BFC78C5675489F21844856F37C9F2F8C7C8AD02D6422D5EDC316f3DFC" TargetMode="External"/><Relationship Id="rId13" Type="http://schemas.openxmlformats.org/officeDocument/2006/relationships/hyperlink" Target="consultantplus://offline/ref=CD6A979A923D17A237E8412C68937B7F675FCBB6A9A2411EF53E85EAE4B4DE02DDC3C4B992CC0C79488123864Af5DAC" TargetMode="External"/><Relationship Id="rId18" Type="http://schemas.openxmlformats.org/officeDocument/2006/relationships/hyperlink" Target="consultantplus://offline/ref=CD6A979A923D17A237E8412C68937B7F625FCAB5A9AB1C14FD6789E8E3BB8115C88A90B493CF127142CB70C21D53F92BD06AD86F89D331f6D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1A09F41CDA04FA20FD52AFC273600C8B50C6C391100A1BAE8AB06F369B252CEF9056DBE7901303A2206D15A55DD1D8CA271BE45728F53403055783DBd6k0J" TargetMode="External"/><Relationship Id="rId7" Type="http://schemas.openxmlformats.org/officeDocument/2006/relationships/hyperlink" Target="consultantplus://offline/ref=CD6A979A923D17A237E85F217EFF2777645D91BFA8A64D4CA16C8EE0B1EC815B8D8495BFC78C56754A9475D70C0BF529CD75D87095D13367f2D7C" TargetMode="External"/><Relationship Id="rId12" Type="http://schemas.openxmlformats.org/officeDocument/2006/relationships/hyperlink" Target="consultantplus://offline/ref=CD6A979A923D17A237E8412C68937B7F675FCAB4ACA5411EF53E85EAE4B4DE02CFC39CB593CF1678499475D70C0BF529CD75D87095D13367f2D7C" TargetMode="External"/><Relationship Id="rId17" Type="http://schemas.openxmlformats.org/officeDocument/2006/relationships/hyperlink" Target="consultantplus://offline/ref=CD6A979A923D17A237E8412C68937B7F6D52CEB4ADAB1C14FD6789E8E3BB8115C88A90B493CF127142CB70C21D53F92BD06AD86F89D331f6D1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6A979A923D17A237E8412C68937B7F6454CAB7AAA7411EF53E85EAE4B4DE02CFC39CB593CF1278409475D70C0BF529CD75D87095D13367f2D7C" TargetMode="External"/><Relationship Id="rId20" Type="http://schemas.openxmlformats.org/officeDocument/2006/relationships/hyperlink" Target="consultantplus://offline/ref=CD6A979A923D17A237E8412C68937B7F6452C8B5AEA0411EF53E85EAE4B4DE02CFC39CB593CF1278409475D70C0BF529CD75D87095D13367f2D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6A979A923D17A237E8412C68937B7F6151CAB3A8A4411EF53E85EAE4B4DE02CFC39CB29ACD192C18DB748B495DE629CF75DB7189fDD7C" TargetMode="External"/><Relationship Id="rId11" Type="http://schemas.openxmlformats.org/officeDocument/2006/relationships/hyperlink" Target="consultantplus://offline/ref=CD6A979A923D17A237E85F217EFF2777645D91BFA8A64D4CA16C8EE0B1EC815B8D8495BFC78C5675489C2AD2191AAD25CF68C7708ACD316521fCDF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D6A979A923D17A237E8412C68937B7F6250CEB6AEAB1C14FD6789E8E3BB8115C88A90B493CF127142CB70C21D53F92BD06AD86F89D331f6D1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D6A979A923D17A237E85F217EFF2777645D91BFA8A64D4CA16C8EE0B1EC815B8D8495BFC78C5675489D2AD2191AAD25CF68C7708ACD316521fCDFC" TargetMode="External"/><Relationship Id="rId19" Type="http://schemas.openxmlformats.org/officeDocument/2006/relationships/hyperlink" Target="consultantplus://offline/ref=CD6A979A923D17A237E8412C68937B7F625FCFB2A9AB1C14FD6789E8E3BB8115C88A90B493CF127142CB70C21D53F92BD06AD86F89D331f6D1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6A979A923D17A237E85F217EFF2777645D91BFA8A64D4CA16C8EE0B1EC815B8D8495BFC78C56754E9475D70C0BF529CD75D87095D13367f2D7C" TargetMode="External"/><Relationship Id="rId14" Type="http://schemas.openxmlformats.org/officeDocument/2006/relationships/hyperlink" Target="consultantplus://offline/ref=CD6A979A923D17A237E8412C68937B7F6257CAB2AEAB1C14FD6789E8E3BB8115C88A90B493CF127142CB70C21D53F92BD06AD86F89D331f6D1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4928</Words>
  <Characters>28095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ShchepelinaNF</cp:lastModifiedBy>
  <cp:revision>39</cp:revision>
  <dcterms:created xsi:type="dcterms:W3CDTF">2024-11-13T02:11:00Z</dcterms:created>
  <dcterms:modified xsi:type="dcterms:W3CDTF">2024-12-27T05:51:00Z</dcterms:modified>
</cp:coreProperties>
</file>