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2B" w:rsidRDefault="0029592B" w:rsidP="002959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9592B" w:rsidRDefault="0029592B" w:rsidP="002959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Тунгокоченского муниципального округа</w:t>
      </w:r>
    </w:p>
    <w:p w:rsidR="0029592B" w:rsidRDefault="0029592B" w:rsidP="002959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DA7F12" w:rsidRDefault="00DA7F12" w:rsidP="00DA7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</w:t>
      </w:r>
    </w:p>
    <w:p w:rsidR="00091B7A" w:rsidRDefault="00091B7A" w:rsidP="0009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91B7A" w:rsidRPr="00091B7A" w:rsidRDefault="003C108A" w:rsidP="0009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r w:rsidR="002959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</w:t>
      </w:r>
      <w:r w:rsid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нвар</w:t>
      </w:r>
      <w:r w:rsidR="002959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</w:t>
      </w:r>
      <w:r w:rsid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2026 года                                                         </w:t>
      </w:r>
      <w:r w:rsidR="002959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</w:t>
      </w:r>
      <w:r w:rsid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№</w:t>
      </w:r>
      <w:r w:rsidR="0029592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30</w:t>
      </w:r>
    </w:p>
    <w:p w:rsidR="003C108A" w:rsidRDefault="00DA7F12" w:rsidP="00091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A7F1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с. </w:t>
      </w:r>
      <w:proofErr w:type="spellStart"/>
      <w:r w:rsidRPr="00DA7F1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Верх-Усугли</w:t>
      </w:r>
      <w:proofErr w:type="spellEnd"/>
      <w:r w:rsidRPr="00DA7F1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</w:p>
    <w:p w:rsidR="00DA7F12" w:rsidRPr="00DA7F12" w:rsidRDefault="00DA7F12" w:rsidP="00091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91B7A" w:rsidRPr="00091B7A" w:rsidRDefault="00091B7A" w:rsidP="00091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91B7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 утверждении Положения об оплате труда руководителей</w:t>
      </w:r>
    </w:p>
    <w:p w:rsidR="00091B7A" w:rsidRDefault="00091B7A" w:rsidP="00091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91B7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муниципальных образовательных учреждений Тунгокоченского муниципального округа Забайкальского края</w:t>
      </w:r>
    </w:p>
    <w:p w:rsidR="00091B7A" w:rsidRPr="00091B7A" w:rsidRDefault="00091B7A" w:rsidP="00091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91B7A" w:rsidRDefault="00091B7A" w:rsidP="00DA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соответствии с 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приказом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Министерства образования, науки и</w:t>
      </w:r>
      <w:r w:rsidR="0064695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молодежной политики Забайкальского края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14.02.2023 г. 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«Об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утверждении П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оложения об оплате труда руководителей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государственных учреждений, находящихся в ведении Министерства образования и науки Забайкальского края, 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руководствуясь статьями № 32, 37, 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Постановлением администрации Тунгокоченского муниципального округа от 17 ноября 2025 года №1030 «Об утверждении примерного положения об оплате труда работников системы образования Тунгокоченского муниципального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округа Забайкальского края» </w:t>
      </w:r>
      <w:r w:rsidRPr="00091B7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постановляет:</w:t>
      </w:r>
    </w:p>
    <w:p w:rsidR="00DA7F12" w:rsidRPr="00091B7A" w:rsidRDefault="00DA7F12" w:rsidP="00DA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91B7A" w:rsidRPr="00091B7A" w:rsidRDefault="00091B7A" w:rsidP="00DA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Утвердить Положение об оплате труда руководителей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муниципальных</w:t>
      </w:r>
    </w:p>
    <w:p w:rsidR="00091B7A" w:rsidRPr="00091B7A" w:rsidRDefault="005F40A3" w:rsidP="00DA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091B7A"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бразовательных</w:t>
      </w:r>
      <w:r w:rsid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91B7A"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учреждений</w:t>
      </w:r>
      <w:r w:rsid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Тунгокоченского </w:t>
      </w:r>
      <w:r w:rsidR="00091B7A"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округа Забайкальского края,</w:t>
      </w:r>
      <w:r w:rsid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приложение №1.</w:t>
      </w:r>
    </w:p>
    <w:p w:rsidR="00091B7A" w:rsidRDefault="00091B7A" w:rsidP="00DA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091B7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Настоящее Постановление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опубликовать в газете « Вести Севера »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разместить</w:t>
      </w:r>
      <w:r w:rsidR="00DA7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официальном сайте Тунгокоченского муниципального округа 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91B7A" w:rsidRPr="00091B7A" w:rsidRDefault="00091B7A" w:rsidP="00DA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3.Настоящее Постановление распространяет свое действие на правоотношения, возникшие с 01 сентября 2025 года.</w:t>
      </w:r>
    </w:p>
    <w:p w:rsidR="007F155C" w:rsidRDefault="007F155C" w:rsidP="00DA7F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955" w:rsidRDefault="00A10955" w:rsidP="00A109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A10955" w:rsidRDefault="00A10955" w:rsidP="00A109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091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731D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731DA4" w:rsidRPr="00731DA4" w:rsidRDefault="00731DA4" w:rsidP="005F4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УТВЕРЖДЕНО</w:t>
      </w:r>
    </w:p>
    <w:p w:rsidR="00731DA4" w:rsidRPr="00731DA4" w:rsidRDefault="00731DA4" w:rsidP="005F4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F40A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r w:rsidRPr="00731DA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остановлением администрации</w:t>
      </w:r>
    </w:p>
    <w:p w:rsidR="00731DA4" w:rsidRPr="00731DA4" w:rsidRDefault="00731DA4" w:rsidP="005F4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F40A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Тунгокоченского </w:t>
      </w:r>
      <w:r w:rsidRPr="00731DA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</w:t>
      </w:r>
    </w:p>
    <w:p w:rsidR="00731DA4" w:rsidRPr="00731DA4" w:rsidRDefault="00731DA4" w:rsidP="005F4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округа Забайкальского края</w:t>
      </w:r>
    </w:p>
    <w:p w:rsidR="00731DA4" w:rsidRPr="00731DA4" w:rsidRDefault="00731DA4" w:rsidP="005F4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F40A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                                    от  </w:t>
      </w:r>
      <w:r w:rsidR="00A1095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21.01.2026 </w:t>
      </w:r>
      <w:r w:rsidRPr="005F40A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года №</w:t>
      </w:r>
      <w:r w:rsidR="00A1095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30</w:t>
      </w:r>
      <w:r w:rsidRPr="005F40A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:rsidR="00731DA4" w:rsidRPr="005F40A3" w:rsidRDefault="00731DA4" w:rsidP="005F40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1DA4" w:rsidRPr="00731DA4" w:rsidRDefault="00731DA4" w:rsidP="00731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Положение</w:t>
      </w:r>
    </w:p>
    <w:p w:rsidR="00731DA4" w:rsidRPr="00731DA4" w:rsidRDefault="00731DA4" w:rsidP="00731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 оплате труда руководителей муниципальных образовательных</w:t>
      </w:r>
    </w:p>
    <w:p w:rsidR="00731DA4" w:rsidRPr="00731DA4" w:rsidRDefault="00731DA4" w:rsidP="00731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учреждений Тунгокоченского муниципального округа</w:t>
      </w:r>
    </w:p>
    <w:p w:rsidR="00731DA4" w:rsidRPr="00731DA4" w:rsidRDefault="00731DA4" w:rsidP="00731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Забайкальского края</w:t>
      </w:r>
    </w:p>
    <w:p w:rsidR="00731DA4" w:rsidRDefault="00731DA4" w:rsidP="00731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DA4" w:rsidRDefault="00731DA4" w:rsidP="00731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731DA4" w:rsidRPr="00731DA4" w:rsidRDefault="00731DA4" w:rsidP="00731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1.1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Настоящее Положение определяет порядок и </w:t>
      </w:r>
      <w:proofErr w:type="gramStart"/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размер оплаты труда</w:t>
      </w:r>
      <w:proofErr w:type="gramEnd"/>
    </w:p>
    <w:p w:rsidR="00731DA4" w:rsidRPr="00731DA4" w:rsidRDefault="00731DA4" w:rsidP="00731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руководителей муниципальных образовательных учреждений при заключении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ними трудовых договоров.</w:t>
      </w:r>
    </w:p>
    <w:p w:rsidR="00731DA4" w:rsidRPr="00731DA4" w:rsidRDefault="00731DA4" w:rsidP="00731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1.2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Оплата труда руководителей образовательных учреждений</w:t>
      </w:r>
    </w:p>
    <w:p w:rsidR="00731DA4" w:rsidRPr="00731DA4" w:rsidRDefault="00731DA4" w:rsidP="00731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определяется трудовыми договорами в соответствии с настоящим Положением.</w:t>
      </w:r>
    </w:p>
    <w:p w:rsidR="00731DA4" w:rsidRDefault="00731DA4" w:rsidP="00731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DA4" w:rsidRDefault="00731DA4" w:rsidP="00731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D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31DA4">
        <w:rPr>
          <w:rFonts w:ascii="Times New Roman" w:hAnsi="Times New Roman" w:cs="Times New Roman"/>
          <w:b/>
          <w:sz w:val="28"/>
          <w:szCs w:val="28"/>
        </w:rPr>
        <w:t>.Порядок и условия оплаты труда</w:t>
      </w:r>
    </w:p>
    <w:p w:rsidR="00731DA4" w:rsidRPr="00731DA4" w:rsidRDefault="00731DA4" w:rsidP="00731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2.1. Заработная плата руководителя муниципального образовательного</w:t>
      </w:r>
    </w:p>
    <w:p w:rsidR="00731DA4" w:rsidRPr="00731DA4" w:rsidRDefault="00731DA4" w:rsidP="00731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за исполнение трудовых (должностных) обязанностей включает:</w:t>
      </w:r>
    </w:p>
    <w:p w:rsidR="00731DA4" w:rsidRPr="00731DA4" w:rsidRDefault="00731DA4" w:rsidP="00731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должностной оклад;</w:t>
      </w:r>
    </w:p>
    <w:p w:rsidR="00731DA4" w:rsidRPr="00731DA4" w:rsidRDefault="00731DA4" w:rsidP="00731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компенсационные выплаты;</w:t>
      </w:r>
    </w:p>
    <w:p w:rsidR="00731DA4" w:rsidRDefault="00731DA4" w:rsidP="00731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стимулирующие выплаты.</w:t>
      </w:r>
    </w:p>
    <w:p w:rsidR="00731DA4" w:rsidRDefault="00731DA4" w:rsidP="00731D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2.2. Должностной оклад руководителя </w:t>
      </w:r>
      <w:r w:rsidR="00A109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Комитета образования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устанавливается администрацией Тунгокоченского муниципального округа на основе требований к профессиональной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подготовке и уровню квалификации, которые необходимы для осуществления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соответствующей профессиональной деятельности, с учетом сложности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объема выполняемой работы, а также дифференциации муниципальных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образовательных учреждений по группам по оплате труда.</w:t>
      </w:r>
    </w:p>
    <w:p w:rsidR="00731DA4" w:rsidRDefault="00731DA4" w:rsidP="00731DA4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2.3.</w:t>
      </w:r>
      <w:r w:rsidRPr="00731DA4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Группы по оплате труда определяются в соответствии со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среднесписочной численностью обучающихся (воспитанников) муниципальных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бразовательных учреждений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21C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(таблица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1)</w:t>
      </w:r>
      <w:r w:rsidRPr="00731D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521C72" w:rsidRDefault="00521C72" w:rsidP="00731DA4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</w:p>
    <w:p w:rsidR="00521C72" w:rsidRDefault="00521C72" w:rsidP="00731DA4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1C72" w:rsidRDefault="00521C72" w:rsidP="00731DA4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1C72" w:rsidRDefault="00521C72" w:rsidP="00521C72">
      <w:pPr>
        <w:shd w:val="clear" w:color="auto" w:fill="FFFFFF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Таблица</w:t>
      </w: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proofErr w:type="gramEnd"/>
    </w:p>
    <w:p w:rsidR="00521C72" w:rsidRDefault="00521C72" w:rsidP="00731DA4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Группы муниципальных образовательных учреждений по оплате труда.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21C72" w:rsidTr="00521C72">
        <w:tc>
          <w:tcPr>
            <w:tcW w:w="4672" w:type="dxa"/>
          </w:tcPr>
          <w:p w:rsidR="00521C72" w:rsidRPr="00521C72" w:rsidRDefault="00521C72" w:rsidP="005F40A3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73" w:type="dxa"/>
          </w:tcPr>
          <w:p w:rsidR="00521C72" w:rsidRPr="00521C72" w:rsidRDefault="00521C72" w:rsidP="005F40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 численность</w:t>
            </w:r>
          </w:p>
          <w:p w:rsidR="00521C72" w:rsidRPr="00521C72" w:rsidRDefault="00521C72" w:rsidP="005F40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обучающихся (воспитанников)</w:t>
            </w:r>
          </w:p>
          <w:p w:rsidR="00521C72" w:rsidRPr="00521C72" w:rsidRDefault="00521C72" w:rsidP="005F40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образовательных учреждений</w:t>
            </w:r>
          </w:p>
          <w:p w:rsidR="00521C72" w:rsidRDefault="00521C72" w:rsidP="005F40A3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521C72" w:rsidTr="00196F23">
        <w:tc>
          <w:tcPr>
            <w:tcW w:w="9345" w:type="dxa"/>
            <w:gridSpan w:val="2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 50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51 до 100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101 до 200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201 до 250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251 и более</w:t>
            </w:r>
          </w:p>
        </w:tc>
      </w:tr>
      <w:tr w:rsidR="00521C72" w:rsidTr="00E528DC">
        <w:tc>
          <w:tcPr>
            <w:tcW w:w="9345" w:type="dxa"/>
            <w:gridSpan w:val="2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 50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51 до 100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101 до 200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201 и более</w:t>
            </w:r>
          </w:p>
        </w:tc>
      </w:tr>
      <w:tr w:rsidR="00521C72" w:rsidTr="00840274">
        <w:tc>
          <w:tcPr>
            <w:tcW w:w="9345" w:type="dxa"/>
            <w:gridSpan w:val="2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 200 человек</w:t>
            </w:r>
          </w:p>
        </w:tc>
      </w:tr>
      <w:tr w:rsidR="00521C72" w:rsidTr="00521C72">
        <w:tc>
          <w:tcPr>
            <w:tcW w:w="4672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4673" w:type="dxa"/>
          </w:tcPr>
          <w:p w:rsidR="00521C72" w:rsidRPr="00521C72" w:rsidRDefault="00521C72" w:rsidP="00521C7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 200 и более</w:t>
            </w:r>
          </w:p>
        </w:tc>
      </w:tr>
    </w:tbl>
    <w:p w:rsidR="00521C72" w:rsidRDefault="00521C72" w:rsidP="00731DA4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1C72" w:rsidRPr="00521C72" w:rsidRDefault="00521C72" w:rsidP="00CA6B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2.4.</w:t>
      </w:r>
      <w:r w:rsidRPr="0052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1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образовательного </w:t>
      </w:r>
      <w:r w:rsidRPr="0052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определяется с учетом отнесения к группе по оплате труда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таблице 1 </w:t>
      </w:r>
      <w:r w:rsidRPr="0052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 с применением кратности оклада руководителя муниципального образовательного учреждения, утвержден</w:t>
      </w:r>
      <w:r w:rsidR="005F4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настоящим Положением</w:t>
      </w:r>
      <w:r w:rsidRPr="0052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окладу рабочего первого квалификационного уровня профессиональной квалификационной группы «Общеотраслевые профессии рабочих первого уровня», </w:t>
      </w:r>
      <w:r w:rsidR="00CA6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предусмотренному Примерным положением об оплате труда работников системы образования Тунгокоченского муниципального округа Забайкальского края, утвержденного Постановлением</w:t>
      </w:r>
      <w:proofErr w:type="gramEnd"/>
      <w:r w:rsidR="00CA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Тунгокоченского муниципального округа от 17 ноября 2025 года №1030 в размере 8412 руб.</w:t>
      </w:r>
    </w:p>
    <w:p w:rsidR="00CA6BE6" w:rsidRDefault="00CA6BE6" w:rsidP="00CA6BE6">
      <w:pPr>
        <w:shd w:val="clear" w:color="auto" w:fill="FFFFFF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ab/>
        <w:t>Таблица 2</w:t>
      </w:r>
    </w:p>
    <w:p w:rsidR="00CA6BE6" w:rsidRPr="003C108A" w:rsidRDefault="003C108A" w:rsidP="003C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6BE6"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Кратность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лада руководителя муниципального </w:t>
      </w:r>
      <w:r w:rsidR="00CA6BE6"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</w:p>
    <w:p w:rsidR="00CA6BE6" w:rsidRPr="003C108A" w:rsidRDefault="00CA6BE6" w:rsidP="003C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 окладу рабочего первого квалификационного уровня</w:t>
      </w:r>
    </w:p>
    <w:p w:rsidR="00CA6BE6" w:rsidRPr="003C108A" w:rsidRDefault="00CA6BE6" w:rsidP="003C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квалификационной группы «Общеотраслевые профессии</w:t>
      </w:r>
    </w:p>
    <w:p w:rsidR="00CA6BE6" w:rsidRPr="003C108A" w:rsidRDefault="00CA6BE6" w:rsidP="003C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первого уровня» по группам муниципальных учреждений</w:t>
      </w:r>
    </w:p>
    <w:p w:rsidR="00CA6BE6" w:rsidRPr="003C108A" w:rsidRDefault="00CA6BE6" w:rsidP="00CA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BE6" w:rsidRDefault="00CA6BE6" w:rsidP="00CA6BE6">
      <w:pPr>
        <w:shd w:val="clear" w:color="auto" w:fill="FFFFFF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21C72" w:rsidRPr="00731DA4" w:rsidRDefault="00521C72" w:rsidP="00CA6BE6">
      <w:pPr>
        <w:shd w:val="clear" w:color="auto" w:fill="FFFFFF"/>
        <w:tabs>
          <w:tab w:val="left" w:pos="7095"/>
        </w:tabs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31DA4" w:rsidRPr="00731DA4" w:rsidRDefault="00731DA4" w:rsidP="00731D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31DA4" w:rsidRPr="00731DA4" w:rsidRDefault="00731DA4" w:rsidP="00731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A6BE6" w:rsidTr="00A5720D">
        <w:tc>
          <w:tcPr>
            <w:tcW w:w="4672" w:type="dxa"/>
          </w:tcPr>
          <w:p w:rsidR="00CA6BE6" w:rsidRPr="00521C72" w:rsidRDefault="00CA6BE6" w:rsidP="00CA6B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73" w:type="dxa"/>
          </w:tcPr>
          <w:p w:rsidR="00CA6BE6" w:rsidRDefault="00CA6BE6" w:rsidP="00CA6B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кратность</w:t>
            </w:r>
          </w:p>
        </w:tc>
      </w:tr>
      <w:tr w:rsidR="00CA6BE6" w:rsidRPr="00521C72" w:rsidTr="00A5720D">
        <w:tc>
          <w:tcPr>
            <w:tcW w:w="9345" w:type="dxa"/>
            <w:gridSpan w:val="2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4673" w:type="dxa"/>
          </w:tcPr>
          <w:p w:rsidR="00CA6BE6" w:rsidRPr="00CA6BE6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A6B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3,2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4673" w:type="dxa"/>
          </w:tcPr>
          <w:p w:rsidR="00CA6BE6" w:rsidRPr="00CA6BE6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A6B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3,52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4673" w:type="dxa"/>
          </w:tcPr>
          <w:p w:rsidR="00CA6BE6" w:rsidRPr="00CA6BE6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A6B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3,98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4673" w:type="dxa"/>
          </w:tcPr>
          <w:p w:rsidR="00CA6BE6" w:rsidRPr="00CA6BE6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A6B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4,37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 группа</w:t>
            </w:r>
          </w:p>
        </w:tc>
        <w:tc>
          <w:tcPr>
            <w:tcW w:w="4673" w:type="dxa"/>
          </w:tcPr>
          <w:p w:rsidR="00CA6BE6" w:rsidRPr="00CA6BE6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A6B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4,75</w:t>
            </w:r>
          </w:p>
        </w:tc>
      </w:tr>
      <w:tr w:rsidR="00CA6BE6" w:rsidRPr="00521C72" w:rsidTr="00A5720D">
        <w:tc>
          <w:tcPr>
            <w:tcW w:w="9345" w:type="dxa"/>
            <w:gridSpan w:val="2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4673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3,0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4673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3,5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4673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4,5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4673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5,5</w:t>
            </w:r>
          </w:p>
        </w:tc>
      </w:tr>
      <w:tr w:rsidR="00CA6BE6" w:rsidRPr="00521C72" w:rsidTr="00A5720D">
        <w:tc>
          <w:tcPr>
            <w:tcW w:w="9345" w:type="dxa"/>
            <w:gridSpan w:val="2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4673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3,0</w:t>
            </w:r>
          </w:p>
        </w:tc>
      </w:tr>
      <w:tr w:rsidR="00CA6BE6" w:rsidRPr="00521C72" w:rsidTr="00A5720D">
        <w:tc>
          <w:tcPr>
            <w:tcW w:w="4672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21C7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4673" w:type="dxa"/>
          </w:tcPr>
          <w:p w:rsidR="00CA6BE6" w:rsidRPr="00521C72" w:rsidRDefault="00CA6BE6" w:rsidP="00A5720D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3,5</w:t>
            </w:r>
          </w:p>
        </w:tc>
      </w:tr>
    </w:tbl>
    <w:p w:rsidR="00731DA4" w:rsidRDefault="00731DA4" w:rsidP="00731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BE6" w:rsidRPr="003C108A" w:rsidRDefault="00CA6BE6" w:rsidP="00CA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2.5.Должностные оклады образовательного учреждения повышаются одновременно с увеличением базового оклада по профессионально квалификационной группе</w:t>
      </w:r>
    </w:p>
    <w:p w:rsidR="00EA5B23" w:rsidRPr="003C108A" w:rsidRDefault="00CA6BE6" w:rsidP="00EA5B2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«Общеотраслевые профессии рабочих квалификационного уровня» в учреждениях</w:t>
      </w:r>
      <w:r w:rsidR="00EA5B23"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внесения изменений (дополнений) в трудовые договоры.</w:t>
      </w:r>
    </w:p>
    <w:p w:rsidR="00EA5B23" w:rsidRPr="003C108A" w:rsidRDefault="00EA5B23" w:rsidP="00EA5B2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Выплаты компенсационного характера руководителя определяются </w:t>
      </w: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2.2. Примерного положения об оплате труда</w:t>
      </w: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системы образования Тунгокоченского муниципального округа Забайкальского края, в зависимости от условий труда.</w:t>
      </w: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2.7.Выплаты за интенсивность руководителям Учреждений устанавливается в процентах к должностному окладу.</w:t>
      </w: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2.7.1.Выплата за интенсивность устанавливается в следующих размерах:</w:t>
      </w: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5%-при налич</w:t>
      </w: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филиала или структурного подразделения в другом населенном пункте;</w:t>
      </w: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2,5%-при налич</w:t>
      </w: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филиала или структурного подразделения в этом же населенном пункте.</w:t>
      </w: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23" w:rsidRPr="003C108A" w:rsidRDefault="00EA5B23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руководителя права на повышение по нескольким основаниям, указанным в подпункте 2.7.1. настоящего Положения, размеры выплаты за интенсивность суммируются.</w:t>
      </w:r>
    </w:p>
    <w:p w:rsidR="00283ECD" w:rsidRPr="003C108A" w:rsidRDefault="00283ECD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CD" w:rsidRPr="003C108A" w:rsidRDefault="00283ECD" w:rsidP="00283EC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 выплатам стимулирующего характера руководителя муниципального образовательного учреждения относятся: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надбавка за выслугу лет;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надбавка за почетное звание, ученую степень, ученое звание;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премирования.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Pr="003C108A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выслугу лет.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Размеры, условия и порядок выплаты ежемесячной надбавки за выслугу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к должностному окладу </w:t>
      </w: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proofErr w:type="gramEnd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2.3.5 пункта 2.3.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положения об оплате труда работников системы образования Тунгокоченского муниципального округа Забайкальского края.</w:t>
      </w: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CD" w:rsidRPr="003C108A" w:rsidRDefault="00283ECD" w:rsidP="00283EC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2.8.2.Надбавка за почетное звание, ученую степень, ученое звание.</w:t>
      </w:r>
    </w:p>
    <w:p w:rsidR="00283ECD" w:rsidRPr="003C108A" w:rsidRDefault="00283ECD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Размеры, условия и порядок выплаты ежемесячной надбавки за почетное звание, ученую степень, ученое звание к должностному окладу определены </w:t>
      </w: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83ECD" w:rsidRPr="003C108A" w:rsidRDefault="00283ECD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2.3.9 пункта 2.3. Примерного положения об оплате труда</w:t>
      </w:r>
    </w:p>
    <w:p w:rsidR="00283ECD" w:rsidRPr="003C108A" w:rsidRDefault="00283ECD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системы образования Тунгокоченского муниципального округа Забайкальского края.</w:t>
      </w:r>
    </w:p>
    <w:p w:rsidR="00283ECD" w:rsidRPr="003C108A" w:rsidRDefault="00283ECD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Default="002F4DCA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2.8.3.Система премирования.</w:t>
      </w:r>
    </w:p>
    <w:p w:rsidR="003C108A" w:rsidRPr="003C108A" w:rsidRDefault="003C108A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премирования определены в подпункте 2.3.13. пункта 2.3. Примерного положения об оплате труда работников системы образования Тунгокоченского муниципального округа Забайкальского края.</w:t>
      </w: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размер премирования руководителю общеобразовательного учреждения не должен превышать 70% от оклада (должностного оклада), ставки заработной платы; руководителю дошкольного и дополнительного образовательного учреждения не должен превышать 30% от оклада (должностного оклада), ставки заработной платы.</w:t>
      </w: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Стимулирующие выплаты (премирование) руководителю устанавливаются ежеквартально приказом Комитета образования администрации Тунгокоченского муниципального округа в процентах к должностному окладу в зависимости от достижения целевых показателей эффективности деятельности муниципального образовательного учреждения и её руководителя.</w:t>
      </w: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2.8.5.При наличии взыскания, вынесенного руководителю за отчетный период (месяц), выплата премии не производится.</w:t>
      </w: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Pr="003C108A" w:rsidRDefault="002F4DCA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2.9.Предельный уровень соотношения средней заработной платы руководителей муниципальных образовательных учреждений и средней заработной платы работников определен Постановлением администрации Тунгокоченского муниципального округа от 27.12.2024 года №1051 </w:t>
      </w:r>
      <w:r w:rsidR="005F40A3"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5F40A3"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оплате труда работников муниципальных учреждений Тунгокоченского муниципального округа».</w:t>
      </w:r>
    </w:p>
    <w:p w:rsidR="005F40A3" w:rsidRPr="003C108A" w:rsidRDefault="005F40A3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A3" w:rsidRPr="003C108A" w:rsidRDefault="005F40A3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Соотношение средней заработной платы руководителей муниципальных образовательных учреждений и средней заработной платы работников учреждений, формируется за счет всех финансовых источников, рассчитывается за предшествующий календарный год.</w:t>
      </w:r>
    </w:p>
    <w:p w:rsidR="005F40A3" w:rsidRPr="003C108A" w:rsidRDefault="005F40A3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A3" w:rsidRPr="003C108A" w:rsidRDefault="005F40A3" w:rsidP="002F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8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 целях формирования трудовых отношений с руководителями муниципальных образовательных учреждений при введении для них новых систем оплаты труда подписываются дополнительные соглашения к трудовым договорам.</w:t>
      </w:r>
    </w:p>
    <w:p w:rsidR="002F4DCA" w:rsidRPr="003C108A" w:rsidRDefault="002F4DCA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DCA" w:rsidRPr="003C108A" w:rsidRDefault="002F4DCA" w:rsidP="00283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CD" w:rsidRPr="003C108A" w:rsidRDefault="00283ECD" w:rsidP="00283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CD" w:rsidRPr="00EA5B23" w:rsidRDefault="00283ECD" w:rsidP="00EA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A5B23" w:rsidRPr="00EA5B23" w:rsidRDefault="00EA5B23" w:rsidP="00EA5B2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CA6BE6" w:rsidRPr="00CA6BE6" w:rsidRDefault="00CA6BE6" w:rsidP="00CA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CA6BE6" w:rsidRDefault="00CA6BE6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p w:rsidR="005F40A3" w:rsidRDefault="005F40A3" w:rsidP="00CA6BE6">
      <w:pPr>
        <w:rPr>
          <w:rFonts w:ascii="Times New Roman" w:hAnsi="Times New Roman" w:cs="Times New Roman"/>
          <w:sz w:val="28"/>
          <w:szCs w:val="28"/>
        </w:rPr>
      </w:pPr>
    </w:p>
    <w:sectPr w:rsidR="005F40A3" w:rsidSect="003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648"/>
    <w:rsid w:val="00091B7A"/>
    <w:rsid w:val="00154A09"/>
    <w:rsid w:val="00234648"/>
    <w:rsid w:val="00283ECD"/>
    <w:rsid w:val="00292722"/>
    <w:rsid w:val="0029592B"/>
    <w:rsid w:val="002F4DCA"/>
    <w:rsid w:val="00305CB3"/>
    <w:rsid w:val="00314C9D"/>
    <w:rsid w:val="0033266A"/>
    <w:rsid w:val="00373B32"/>
    <w:rsid w:val="003C108A"/>
    <w:rsid w:val="004B4A34"/>
    <w:rsid w:val="00521C72"/>
    <w:rsid w:val="005F40A3"/>
    <w:rsid w:val="0064695C"/>
    <w:rsid w:val="00731DA4"/>
    <w:rsid w:val="007F155C"/>
    <w:rsid w:val="00803C3F"/>
    <w:rsid w:val="00A10955"/>
    <w:rsid w:val="00A16C00"/>
    <w:rsid w:val="00A32CFA"/>
    <w:rsid w:val="00A6739D"/>
    <w:rsid w:val="00C7259B"/>
    <w:rsid w:val="00CA6BE6"/>
    <w:rsid w:val="00D42E26"/>
    <w:rsid w:val="00DA7F12"/>
    <w:rsid w:val="00DE193C"/>
    <w:rsid w:val="00EA5B23"/>
    <w:rsid w:val="00F2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</dc:creator>
  <cp:lastModifiedBy>ShchepelinaNF</cp:lastModifiedBy>
  <cp:revision>2</cp:revision>
  <cp:lastPrinted>2026-01-22T03:18:00Z</cp:lastPrinted>
  <dcterms:created xsi:type="dcterms:W3CDTF">2026-01-28T02:15:00Z</dcterms:created>
  <dcterms:modified xsi:type="dcterms:W3CDTF">2026-01-28T02:15:00Z</dcterms:modified>
</cp:coreProperties>
</file>