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4B" w:rsidRPr="006C0594" w:rsidRDefault="003A354B" w:rsidP="003A354B">
      <w:pPr>
        <w:spacing w:after="0"/>
        <w:ind w:right="-185"/>
        <w:jc w:val="center"/>
        <w:rPr>
          <w:b/>
        </w:rPr>
      </w:pPr>
      <w:r w:rsidRPr="006C0594">
        <w:rPr>
          <w:b/>
        </w:rPr>
        <w:t>СОВЕТ СЕЛЬСКОГО ПОСЕЛЕНИЯ «НИКОЛАЕВСКОЕ»</w:t>
      </w:r>
    </w:p>
    <w:p w:rsidR="003A354B" w:rsidRPr="006C0594" w:rsidRDefault="003A354B" w:rsidP="003A354B">
      <w:pPr>
        <w:spacing w:after="0"/>
        <w:jc w:val="center"/>
        <w:rPr>
          <w:b/>
        </w:rPr>
      </w:pPr>
      <w:r w:rsidRPr="006C0594">
        <w:rPr>
          <w:b/>
        </w:rPr>
        <w:t>МУНИЦИПАЛЬНОГО РАЙОНА «УЛЁТОВСКИЙ РАЙОН»</w:t>
      </w:r>
    </w:p>
    <w:p w:rsidR="003A354B" w:rsidRPr="006C0594" w:rsidRDefault="003A354B" w:rsidP="003A354B">
      <w:pPr>
        <w:spacing w:after="0"/>
        <w:jc w:val="center"/>
        <w:rPr>
          <w:b/>
        </w:rPr>
      </w:pPr>
      <w:r w:rsidRPr="006C0594">
        <w:rPr>
          <w:b/>
        </w:rPr>
        <w:t>ЗАБАЙКАЛЬСКОГО КРАЯ</w:t>
      </w:r>
    </w:p>
    <w:p w:rsidR="003A354B" w:rsidRPr="006C0594" w:rsidRDefault="003A354B" w:rsidP="003A354B">
      <w:pPr>
        <w:spacing w:after="0"/>
        <w:jc w:val="center"/>
        <w:outlineLvl w:val="0"/>
        <w:rPr>
          <w:b/>
          <w:szCs w:val="28"/>
        </w:rPr>
      </w:pPr>
      <w:r w:rsidRPr="006C0594">
        <w:rPr>
          <w:b/>
          <w:szCs w:val="28"/>
        </w:rPr>
        <w:t>РЕШЕНИЕ</w:t>
      </w:r>
    </w:p>
    <w:p w:rsidR="003A354B" w:rsidRDefault="006C0594" w:rsidP="003A354B">
      <w:pPr>
        <w:spacing w:after="0"/>
        <w:ind w:firstLine="0"/>
        <w:outlineLvl w:val="0"/>
        <w:rPr>
          <w:szCs w:val="28"/>
        </w:rPr>
      </w:pPr>
      <w:r>
        <w:rPr>
          <w:szCs w:val="28"/>
        </w:rPr>
        <w:t>12</w:t>
      </w:r>
      <w:r w:rsidR="003A354B">
        <w:rPr>
          <w:szCs w:val="28"/>
        </w:rPr>
        <w:t xml:space="preserve"> января </w:t>
      </w:r>
      <w:r>
        <w:rPr>
          <w:szCs w:val="28"/>
        </w:rPr>
        <w:t>2022</w:t>
      </w:r>
      <w:r w:rsidR="003A354B">
        <w:rPr>
          <w:szCs w:val="28"/>
        </w:rPr>
        <w:t xml:space="preserve"> года                                                                                   № </w:t>
      </w:r>
      <w:r w:rsidR="009A3FFC">
        <w:rPr>
          <w:szCs w:val="28"/>
        </w:rPr>
        <w:t>98</w:t>
      </w:r>
      <w:r w:rsidR="003A354B">
        <w:rPr>
          <w:szCs w:val="28"/>
        </w:rPr>
        <w:t xml:space="preserve"> </w:t>
      </w:r>
    </w:p>
    <w:p w:rsidR="003A354B" w:rsidRDefault="003A354B" w:rsidP="003A354B">
      <w:pPr>
        <w:spacing w:after="0"/>
        <w:jc w:val="center"/>
        <w:rPr>
          <w:szCs w:val="28"/>
        </w:rPr>
      </w:pPr>
      <w:r>
        <w:rPr>
          <w:szCs w:val="28"/>
        </w:rPr>
        <w:t>с. Николаевское</w:t>
      </w:r>
    </w:p>
    <w:p w:rsidR="003A354B" w:rsidRDefault="003A354B" w:rsidP="003A354B">
      <w:pPr>
        <w:spacing w:after="0"/>
        <w:jc w:val="center"/>
        <w:rPr>
          <w:szCs w:val="28"/>
        </w:rPr>
      </w:pPr>
    </w:p>
    <w:p w:rsidR="003A354B" w:rsidRDefault="003A354B" w:rsidP="006C0594">
      <w:pPr>
        <w:pStyle w:val="a5"/>
        <w:spacing w:line="276" w:lineRule="auto"/>
        <w:rPr>
          <w:b/>
        </w:rPr>
      </w:pPr>
      <w:r>
        <w:rPr>
          <w:b/>
        </w:rPr>
        <w:t>Об утверждении стоимости гарантированного перечня услуг по погребению категорий граждан, выплата которого осуществляется за счет средств ПФР в сельском поселении «Николаевское»</w:t>
      </w:r>
      <w:r w:rsidR="008D3DB5">
        <w:rPr>
          <w:b/>
        </w:rPr>
        <w:t xml:space="preserve"> на 2022 год</w:t>
      </w:r>
    </w:p>
    <w:p w:rsidR="003A354B" w:rsidRDefault="003A354B" w:rsidP="003A354B">
      <w:pPr>
        <w:pStyle w:val="a5"/>
        <w:jc w:val="center"/>
        <w:rPr>
          <w:b/>
        </w:rPr>
      </w:pPr>
    </w:p>
    <w:p w:rsidR="003A354B" w:rsidRDefault="003A354B" w:rsidP="003A354B">
      <w:pPr>
        <w:pStyle w:val="a5"/>
        <w:rPr>
          <w:b/>
          <w:szCs w:val="28"/>
        </w:rPr>
      </w:pPr>
      <w:proofErr w:type="gramStart"/>
      <w: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>
        <w:rPr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«Николаевское» муниципального района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 Забайкальского края Совет сельского поселения</w:t>
      </w:r>
      <w:proofErr w:type="gramEnd"/>
      <w:r>
        <w:rPr>
          <w:szCs w:val="28"/>
        </w:rPr>
        <w:t xml:space="preserve"> «Николаевское» </w:t>
      </w:r>
      <w:r>
        <w:rPr>
          <w:b/>
          <w:szCs w:val="28"/>
        </w:rPr>
        <w:t>решил:</w:t>
      </w:r>
    </w:p>
    <w:p w:rsidR="003A354B" w:rsidRDefault="003A354B" w:rsidP="003A354B">
      <w:pPr>
        <w:pStyle w:val="a5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Утвердить 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 </w:t>
      </w:r>
      <w:r w:rsidR="008D3DB5">
        <w:rPr>
          <w:color w:val="000000"/>
          <w:szCs w:val="28"/>
        </w:rPr>
        <w:t xml:space="preserve">на 2022 год </w:t>
      </w:r>
      <w:r>
        <w:rPr>
          <w:color w:val="000000"/>
          <w:szCs w:val="28"/>
        </w:rPr>
        <w:t>(Приложение № 1).</w:t>
      </w:r>
    </w:p>
    <w:p w:rsidR="006C0594" w:rsidRDefault="006C0594" w:rsidP="003A354B">
      <w:pPr>
        <w:pStyle w:val="a5"/>
        <w:rPr>
          <w:szCs w:val="28"/>
        </w:rPr>
      </w:pPr>
      <w:r>
        <w:rPr>
          <w:szCs w:val="28"/>
        </w:rPr>
        <w:t>2. Признать утратившим силу:</w:t>
      </w:r>
    </w:p>
    <w:p w:rsidR="003A354B" w:rsidRDefault="006C0594" w:rsidP="003A354B">
      <w:pPr>
        <w:pStyle w:val="a5"/>
        <w:rPr>
          <w:bCs/>
          <w:szCs w:val="28"/>
        </w:rPr>
      </w:pPr>
      <w:r>
        <w:rPr>
          <w:szCs w:val="28"/>
        </w:rPr>
        <w:t xml:space="preserve">- </w:t>
      </w:r>
      <w:r w:rsidR="003A354B">
        <w:rPr>
          <w:szCs w:val="28"/>
        </w:rPr>
        <w:t>решение Совета сельского поселения «Николаевское» № 20 от 20.01.2020 года «</w:t>
      </w:r>
      <w:r w:rsidR="003A354B">
        <w:rPr>
          <w:bCs/>
          <w:szCs w:val="28"/>
        </w:rPr>
        <w:t>Об утверждении стоимости гарантированного перечня услуг по погребению категорий граждан, выплата которого осуществляется за счет средств ПФР в се</w:t>
      </w:r>
      <w:r>
        <w:rPr>
          <w:bCs/>
          <w:szCs w:val="28"/>
        </w:rPr>
        <w:t>льском поселении «Николаевское»;</w:t>
      </w:r>
    </w:p>
    <w:p w:rsidR="006C0594" w:rsidRDefault="006C0594" w:rsidP="003A354B">
      <w:pPr>
        <w:pStyle w:val="a5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решение Совета сельского поселения «Николаевское» № 63 от 20.01.2021 года «</w:t>
      </w:r>
      <w:r>
        <w:rPr>
          <w:bCs/>
          <w:szCs w:val="28"/>
        </w:rPr>
        <w:t>Об утверждении стоимости гарантированного перечня услуг по погребению категорий граждан, выплата которого осуществляется за счет средств ПФР в сельском поселении «Николаевское»</w:t>
      </w:r>
    </w:p>
    <w:p w:rsidR="006C0594" w:rsidRDefault="003A354B" w:rsidP="006C0594">
      <w:pPr>
        <w:pStyle w:val="ConsPlusNormal"/>
        <w:ind w:firstLine="709"/>
        <w:jc w:val="both"/>
      </w:pPr>
      <w:r>
        <w:rPr>
          <w:szCs w:val="28"/>
        </w:rPr>
        <w:t xml:space="preserve">3.  </w:t>
      </w:r>
      <w:proofErr w:type="gramStart"/>
      <w:r w:rsidR="006C059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 w:rsidR="006C0594"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 w:rsidR="006C0594"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="006C0594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C0594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="006C0594" w:rsidRPr="006C05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6C0594" w:rsidRPr="006C05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://улёты.забайкальский </w:t>
        </w:r>
        <w:proofErr w:type="spellStart"/>
        <w:r w:rsidR="006C0594" w:rsidRPr="006C05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край.рф</w:t>
        </w:r>
        <w:proofErr w:type="spellEnd"/>
        <w:r w:rsidR="006C0594" w:rsidRPr="006C05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</w:hyperlink>
      <w:proofErr w:type="gramEnd"/>
    </w:p>
    <w:p w:rsidR="003A354B" w:rsidRDefault="003A354B" w:rsidP="006C0594">
      <w:pPr>
        <w:shd w:val="clear" w:color="auto" w:fill="FFFFFF"/>
        <w:rPr>
          <w:szCs w:val="28"/>
        </w:rPr>
      </w:pPr>
      <w:r>
        <w:rPr>
          <w:szCs w:val="28"/>
        </w:rPr>
        <w:t xml:space="preserve"> </w:t>
      </w:r>
    </w:p>
    <w:p w:rsidR="003A354B" w:rsidRPr="003A354B" w:rsidRDefault="003A354B" w:rsidP="003A354B">
      <w:pPr>
        <w:ind w:firstLine="0"/>
        <w:jc w:val="left"/>
        <w:rPr>
          <w:szCs w:val="28"/>
        </w:rPr>
      </w:pPr>
    </w:p>
    <w:p w:rsidR="006C0594" w:rsidRDefault="003A354B" w:rsidP="006C0594">
      <w:pPr>
        <w:pStyle w:val="a5"/>
        <w:ind w:firstLine="0"/>
      </w:pPr>
      <w:r>
        <w:t xml:space="preserve">Глава сельского </w:t>
      </w:r>
      <w:r w:rsidR="006C0594">
        <w:t xml:space="preserve">поселения </w:t>
      </w:r>
    </w:p>
    <w:p w:rsidR="003A354B" w:rsidRDefault="003A354B" w:rsidP="006C0594">
      <w:pPr>
        <w:pStyle w:val="a5"/>
        <w:ind w:firstLine="0"/>
      </w:pPr>
      <w:r>
        <w:t xml:space="preserve">«Николаевское»                                                        </w:t>
      </w:r>
      <w:r w:rsidR="006C0594">
        <w:t xml:space="preserve">                 В.Е.Подопригора                  </w:t>
      </w:r>
    </w:p>
    <w:p w:rsidR="003A354B" w:rsidRDefault="003A354B" w:rsidP="003A354B">
      <w:pPr>
        <w:ind w:firstLine="0"/>
        <w:jc w:val="left"/>
        <w:rPr>
          <w:color w:val="010101"/>
          <w:szCs w:val="28"/>
        </w:rPr>
      </w:pPr>
    </w:p>
    <w:p w:rsidR="003A354B" w:rsidRDefault="003A354B" w:rsidP="003A354B">
      <w:pPr>
        <w:ind w:firstLine="0"/>
        <w:jc w:val="right"/>
        <w:rPr>
          <w:szCs w:val="28"/>
        </w:rPr>
      </w:pPr>
      <w:r>
        <w:rPr>
          <w:color w:val="010101"/>
          <w:szCs w:val="28"/>
        </w:rPr>
        <w:lastRenderedPageBreak/>
        <w:t xml:space="preserve">                                                                                   </w:t>
      </w:r>
      <w:r>
        <w:rPr>
          <w:szCs w:val="28"/>
        </w:rPr>
        <w:t xml:space="preserve">Приложение № 1                                    </w:t>
      </w:r>
    </w:p>
    <w:p w:rsidR="003A354B" w:rsidRDefault="003A354B" w:rsidP="003A354B">
      <w:pPr>
        <w:spacing w:after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УТВЕРЖДЕНО</w:t>
      </w:r>
    </w:p>
    <w:p w:rsidR="003A354B" w:rsidRDefault="003A354B" w:rsidP="003A354B">
      <w:pPr>
        <w:spacing w:after="0"/>
        <w:jc w:val="right"/>
        <w:rPr>
          <w:szCs w:val="28"/>
        </w:rPr>
      </w:pPr>
      <w:r>
        <w:rPr>
          <w:szCs w:val="28"/>
        </w:rPr>
        <w:t>решением Совета сельского</w:t>
      </w:r>
    </w:p>
    <w:p w:rsidR="003A354B" w:rsidRDefault="003A354B" w:rsidP="003A354B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поселения «Николаевское»</w:t>
      </w:r>
    </w:p>
    <w:p w:rsidR="003A354B" w:rsidRDefault="003A354B" w:rsidP="003A354B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C0594">
        <w:rPr>
          <w:szCs w:val="28"/>
        </w:rPr>
        <w:t>12.01.2022</w:t>
      </w:r>
      <w:r w:rsidR="009A3FFC">
        <w:rPr>
          <w:szCs w:val="28"/>
        </w:rPr>
        <w:t xml:space="preserve"> года № 98</w:t>
      </w:r>
    </w:p>
    <w:p w:rsidR="003A354B" w:rsidRDefault="003A354B" w:rsidP="003A35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54B" w:rsidRDefault="003A354B" w:rsidP="003A354B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</w:t>
      </w:r>
      <w:r w:rsidR="009A3FFC">
        <w:rPr>
          <w:color w:val="000000"/>
          <w:szCs w:val="28"/>
        </w:rPr>
        <w:t xml:space="preserve"> себя обязанности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28"/>
        <w:gridCol w:w="2367"/>
        <w:gridCol w:w="1266"/>
        <w:gridCol w:w="1266"/>
      </w:tblGrid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  <w:p w:rsidR="003A354B" w:rsidRDefault="003A354B">
            <w:pPr>
              <w:pStyle w:val="a5"/>
              <w:spacing w:line="276" w:lineRule="auto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</w:pPr>
          </w:p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Гарантированный перечень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</w:pPr>
          </w:p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Наименование услуг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</w:pPr>
          </w:p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Тариф в рублях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left"/>
            </w:pPr>
            <w:r>
              <w:t>ГСМ 40л.* 48,00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1920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jc w:val="center"/>
            </w:pPr>
            <w:r>
              <w:t>22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 xml:space="preserve">Покупка </w:t>
            </w:r>
          </w:p>
          <w:p w:rsidR="003A354B" w:rsidRDefault="003A354B">
            <w:pPr>
              <w:pStyle w:val="a5"/>
              <w:spacing w:line="276" w:lineRule="auto"/>
              <w:jc w:val="left"/>
            </w:pPr>
            <w:r>
              <w:t>гроба</w:t>
            </w:r>
          </w:p>
          <w:p w:rsidR="003A354B" w:rsidRDefault="003A354B">
            <w:pPr>
              <w:pStyle w:val="a5"/>
              <w:spacing w:line="276" w:lineRule="auto"/>
              <w:jc w:val="left"/>
            </w:pPr>
            <w:r>
              <w:t>Надгробье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7800</w:t>
            </w:r>
          </w:p>
          <w:p w:rsidR="003A354B" w:rsidRDefault="003A354B">
            <w:pPr>
              <w:pStyle w:val="a5"/>
              <w:spacing w:line="276" w:lineRule="auto"/>
              <w:jc w:val="left"/>
            </w:pPr>
          </w:p>
          <w:p w:rsidR="003A354B" w:rsidRDefault="003A354B">
            <w:pPr>
              <w:pStyle w:val="a5"/>
              <w:spacing w:line="276" w:lineRule="auto"/>
              <w:jc w:val="left"/>
            </w:pPr>
            <w:r>
              <w:t>7709,98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Вскрытие трупа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4000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Облачение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3709,98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Перевозка тела умершего от места выноса до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3000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 xml:space="preserve">Рытье </w:t>
            </w:r>
          </w:p>
          <w:p w:rsidR="003A354B" w:rsidRDefault="003A354B">
            <w:pPr>
              <w:pStyle w:val="a5"/>
              <w:spacing w:line="276" w:lineRule="auto"/>
              <w:jc w:val="left"/>
            </w:pPr>
            <w:r>
              <w:t>могилы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left"/>
            </w:pPr>
            <w:r>
              <w:t>Зима 9000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left"/>
            </w:pPr>
            <w:r>
              <w:t>Лето 6000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 w:rsidP="009A3FFC">
            <w:pPr>
              <w:pStyle w:val="a5"/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Изготовление оградки из металла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8000</w:t>
            </w:r>
          </w:p>
        </w:tc>
      </w:tr>
      <w:tr w:rsidR="003A354B" w:rsidTr="003A35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jc w:val="left"/>
            </w:pPr>
            <w: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4B" w:rsidRDefault="003A354B">
            <w:pPr>
              <w:pStyle w:val="a5"/>
              <w:spacing w:line="276" w:lineRule="auto"/>
              <w:jc w:val="lef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45139,96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B" w:rsidRDefault="003A354B">
            <w:pPr>
              <w:pStyle w:val="a5"/>
              <w:spacing w:line="276" w:lineRule="auto"/>
              <w:ind w:firstLine="0"/>
              <w:jc w:val="center"/>
            </w:pPr>
            <w:r>
              <w:t>42139.96</w:t>
            </w:r>
          </w:p>
        </w:tc>
      </w:tr>
    </w:tbl>
    <w:p w:rsidR="008D08C8" w:rsidRDefault="008D08C8" w:rsidP="003A354B">
      <w:pPr>
        <w:ind w:firstLine="0"/>
      </w:pPr>
    </w:p>
    <w:sectPr w:rsidR="008D08C8" w:rsidSect="008D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4B"/>
    <w:rsid w:val="003A354B"/>
    <w:rsid w:val="006B72B8"/>
    <w:rsid w:val="006C0594"/>
    <w:rsid w:val="008D08C8"/>
    <w:rsid w:val="008D3DB5"/>
    <w:rsid w:val="009A3FFC"/>
    <w:rsid w:val="00B8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54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3A35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35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6C0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2022-01-13T01:24:00Z</cp:lastPrinted>
  <dcterms:created xsi:type="dcterms:W3CDTF">2022-01-12T02:19:00Z</dcterms:created>
  <dcterms:modified xsi:type="dcterms:W3CDTF">2022-01-13T01:31:00Z</dcterms:modified>
</cp:coreProperties>
</file>