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8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  <w:u w:val="single"/>
        </w:rPr>
        <w:t xml:space="preserve">3. Н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  <w:u w:val="single"/>
        </w:rPr>
        <w:t xml:space="preserve">АЦИОНАЛЬНАЯ СИСТЕМА ПРОСТРАНСТВЕННЫХ ДАННЫХ (НСПД)</w:t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</w:p>
    <w:p>
      <w:pPr>
        <w:jc w:val="both"/>
        <w:spacing w:after="0"/>
        <w:rPr>
          <w:rFonts w:ascii="Liberation Serif" w:hAnsi="Liberation Serif" w:cs="Liberation Serif"/>
          <w:color w:val="000000" w:themeColor="text1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32"/>
          <w:szCs w:val="32"/>
        </w:rPr>
        <w:t xml:space="preserve">На рынок недвижимости также повлиял и </w:t>
      </w:r>
      <w:r>
        <w:rPr>
          <w:rFonts w:ascii="Liberation Serif" w:hAnsi="Liberation Serif" w:eastAsia="Liberation Serif" w:cs="Liberation Serif"/>
          <w:color w:val="000000" w:themeColor="text1"/>
          <w:sz w:val="32"/>
          <w:szCs w:val="32"/>
        </w:rPr>
        <w:t xml:space="preserve">флагманский проект Росреестра - Единая цифровая платформа НСПД. Она объединяет данные из федеральных и региональных информационных систем страны и обеспечивает их доступность для граждан, бизнеса и органов власти в режиме «одного окна».</w:t>
      </w:r>
      <w:r>
        <w:rPr>
          <w:rFonts w:ascii="Liberation Serif" w:hAnsi="Liberation Serif" w:cs="Liberation Serif"/>
          <w:color w:val="000000" w:themeColor="text1"/>
          <w:sz w:val="32"/>
          <w:szCs w:val="32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32"/>
          <w:szCs w:val="32"/>
          <w:highlight w:val="none"/>
        </w:rPr>
      </w:r>
    </w:p>
    <w:p>
      <w:pPr>
        <w:jc w:val="both"/>
        <w:spacing w:after="0"/>
        <w:rPr>
          <w:rFonts w:ascii="Roboto" w:hAnsi="Roboto" w:eastAsia="Roboto" w:cs="Roboto"/>
          <w:color w:val="292c2f"/>
          <w:sz w:val="21"/>
          <w:szCs w:val="21"/>
          <w:highlight w:val="none"/>
        </w:rPr>
      </w:pPr>
      <w:r>
        <w:rPr>
          <w:highlight w:val="none"/>
        </w:rPr>
      </w:r>
      <w:r>
        <w:rPr>
          <w:rFonts w:ascii="Roboto" w:hAnsi="Roboto" w:eastAsia="Roboto" w:cs="Roboto"/>
          <w:color w:val="292c2f"/>
          <w:sz w:val="21"/>
          <w:szCs w:val="21"/>
          <w:highlight w:val="none"/>
        </w:rPr>
      </w:r>
      <w:r>
        <w:rPr>
          <w:rFonts w:ascii="Roboto" w:hAnsi="Roboto" w:eastAsia="Roboto" w:cs="Roboto"/>
          <w:color w:val="292c2f"/>
          <w:sz w:val="21"/>
          <w:szCs w:val="21"/>
          <w:highlight w:val="none"/>
        </w:rPr>
      </w:r>
    </w:p>
    <w:p>
      <w:pPr>
        <w:jc w:val="both"/>
        <w:spacing w:after="0"/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  <w:u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  <w:u w:val="none"/>
        </w:rPr>
        <w:t xml:space="preserve">Забайкальский Росреестр участвует в реализации государственной программы «Национальная система пространственных данных».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  <w:u w:val="none"/>
        </w:rPr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  <w:u w:val="none"/>
        </w:rPr>
      </w:r>
    </w:p>
    <w:p>
      <w:pPr>
        <w:jc w:val="both"/>
        <w:spacing w:after="0"/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</w:p>
    <w:p>
      <w:pPr>
        <w:ind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Краевой 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Росреестр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 проводит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 работу с федеральными и региональными органами власти, профессиональным сообществом по интеграции пространственных данных в Федеральную информационную систему «Единая цифровая платформа НСПД» (ФИС НСПД): 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</w:r>
      <w:hyperlink r:id="rId16" w:tooltip="https://nspd.gov.ru/#top_section" w:history="1">
        <w:r>
          <w:rPr>
            <w:rStyle w:val="961"/>
            <w:rFonts w:ascii="Liberation Serif" w:hAnsi="Liberation Serif" w:eastAsia="Liberation Serif" w:cs="Liberation Serif"/>
            <w:b w:val="0"/>
            <w:bCs w:val="0"/>
            <w:sz w:val="32"/>
            <w:szCs w:val="32"/>
          </w:rPr>
          <w:t xml:space="preserve">https://nspd.gov.ru/#top_section</w:t>
        </w:r>
      </w:hyperlink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. 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Э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то отечественное геоинформационное программное обеспечение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, которое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упрощает процедуру получения услуг в сфере земельных и имущественных отношений.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Систему уже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используют органы власти,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представители бизнес-сообщества и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граждане.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both"/>
        <w:spacing w:after="0"/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  <w:u w:val="none"/>
        </w:rPr>
      </w:r>
    </w:p>
    <w:p>
      <w:pPr>
        <w:jc w:val="both"/>
        <w:spacing w:after="0"/>
        <w:rPr>
          <w:rFonts w:ascii="Liberation Serif" w:hAnsi="Liberation Serif" w:cs="Liberation Serif"/>
          <w:b/>
          <w:bCs/>
          <w:sz w:val="32"/>
          <w:szCs w:val="32"/>
          <w:highlight w:val="none"/>
          <w:u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Госпрограмма</w:t>
      </w:r>
      <w:r>
        <w:rPr>
          <w:rStyle w:val="967"/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 буд</w:t>
      </w:r>
      <w:r>
        <w:rPr>
          <w:rStyle w:val="967"/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ет реализовываться </w:t>
      </w:r>
      <w:r>
        <w:rPr>
          <w:rStyle w:val="967"/>
          <w:rFonts w:ascii="Liberation Serif" w:hAnsi="Liberation Serif" w:eastAsia="Liberation Serif" w:cs="Liberation Serif"/>
          <w:b/>
          <w:bCs/>
          <w:sz w:val="32"/>
          <w:szCs w:val="32"/>
          <w:u w:val="none"/>
        </w:rPr>
        <w:t xml:space="preserve">до 20</w:t>
      </w:r>
      <w:r>
        <w:rPr>
          <w:rStyle w:val="967"/>
          <w:rFonts w:ascii="Liberation Serif" w:hAnsi="Liberation Serif" w:eastAsia="Liberation Serif" w:cs="Liberation Serif"/>
          <w:b/>
          <w:bCs/>
          <w:sz w:val="32"/>
          <w:szCs w:val="32"/>
          <w:u w:val="none"/>
        </w:rPr>
        <w:t xml:space="preserve">30 года.</w:t>
      </w:r>
      <w:r>
        <w:rPr>
          <w:rStyle w:val="967"/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 </w:t>
      </w:r>
      <w:r>
        <w:rPr>
          <w:rStyle w:val="967"/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Ее результаты 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позвол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я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т повысить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  <w:u w:val="none"/>
        </w:rPr>
        <w:t xml:space="preserve">эффективность использования земель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 в Забайкалье</w:t>
      </w: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u w:val="none"/>
        </w:rPr>
        <w:t xml:space="preserve">. Появится возможность рационально подходить к вопросам те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  <w:u w:val="none"/>
        </w:rPr>
        <w:t xml:space="preserve">рриториального планирования и пространственного развития.</w:t>
      </w:r>
      <w:r>
        <w:rPr>
          <w:rFonts w:ascii="Liberation Serif" w:hAnsi="Liberation Serif" w:cs="Liberation Serif"/>
          <w:b/>
          <w:bCs/>
          <w:sz w:val="32"/>
          <w:szCs w:val="32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32"/>
          <w:szCs w:val="32"/>
          <w:highlight w:val="none"/>
          <w:u w:val="none"/>
        </w:rPr>
      </w:r>
    </w:p>
    <w:p>
      <w:pPr>
        <w:jc w:val="both"/>
        <w:spacing w:after="0"/>
        <w:rPr>
          <w:rFonts w:ascii="Liberation Serif" w:hAnsi="Liberation Serif" w:cs="Liberation Serif"/>
          <w:b/>
          <w:bCs/>
          <w:sz w:val="32"/>
          <w:szCs w:val="32"/>
          <w:u w:val="none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none"/>
        </w:rPr>
      </w:r>
      <w:r>
        <w:rPr>
          <w:rFonts w:ascii="Liberation Serif" w:hAnsi="Liberation Serif" w:cs="Liberation Serif"/>
          <w:b/>
          <w:bCs/>
          <w:sz w:val="32"/>
          <w:szCs w:val="32"/>
          <w:u w:val="none"/>
        </w:rPr>
      </w:r>
      <w:r>
        <w:rPr>
          <w:rFonts w:ascii="Liberation Serif" w:hAnsi="Liberation Serif" w:cs="Liberation Serif"/>
          <w:b/>
          <w:bCs/>
          <w:sz w:val="32"/>
          <w:szCs w:val="32"/>
          <w:u w:val="none"/>
        </w:rPr>
      </w:r>
    </w:p>
    <w:p>
      <w:pPr>
        <w:pStyle w:val="958"/>
        <w:ind w:firstLine="0"/>
        <w:jc w:val="both"/>
        <w:spacing w:before="57" w:beforeAutospacing="0" w:after="57" w:afterAutospacing="0" w:line="283" w:lineRule="atLeast"/>
        <w:rPr>
          <w:rFonts w:ascii="Tinos" w:hAnsi="Tinos" w:eastAsia="Tinos" w:cs="Tinos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Проще говоря, 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НСПД 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позволит о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shd w:val="clear" w:color="auto" w:fill="ffffff"/>
        </w:rPr>
        <w:t xml:space="preserve">бъединить пространственные данные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, обеспечивая их 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shd w:val="clear" w:color="auto" w:fill="ffffff"/>
        </w:rPr>
        <w:t xml:space="preserve">доступность для граждан, бизнеса и государственных органов. </w:t>
      </w:r>
      <w:r>
        <w:rPr>
          <w:rFonts w:ascii="Tinos" w:hAnsi="Tinos" w:cs="Tinos"/>
          <w:b/>
          <w:bCs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b/>
          <w:bCs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Если говорить конкретно, то воспользовавшись электронной платформой НСПД 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shd w:val="clear" w:color="auto" w:fill="ffffff"/>
        </w:rPr>
        <w:t xml:space="preserve">любо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shd w:val="clear" w:color="auto" w:fill="ffffff"/>
        </w:rPr>
        <w:t xml:space="preserve">й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shd w:val="clear" w:color="auto" w:fill="ffffff"/>
        </w:rPr>
        <w:t xml:space="preserve"> сможет:</w:t>
      </w:r>
      <w:r>
        <w:rPr>
          <w:rFonts w:ascii="Tinos" w:hAnsi="Tinos" w:cs="Tinos"/>
          <w:b/>
          <w:bCs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b/>
          <w:bCs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получить сводную информацию о земельных участках по заданному кадастровому номеру или по выбранным границам;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повысить эффективность использования земель и объектов недвижимости;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воспользоваться картографическими слоями НСПД;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</w:t>
      </w: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получить земельные участки, находящиеся в государственной или муниципальной собственности;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получать информацию по изменениям объектов недвижимости;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подготовить схему строительства для ИЖС;</w:t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shd w:val="clear" w:color="auto" w:fill="ffffff"/>
        </w:rPr>
      </w:r>
    </w:p>
    <w:p>
      <w:pPr>
        <w:pStyle w:val="958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32"/>
          <w:szCs w:val="32"/>
          <w:shd w:val="clear" w:color="auto" w:fill="ffffff"/>
        </w:rPr>
        <w:t xml:space="preserve">- найти земельные участки, подходящие для развития туризма.</w:t>
      </w:r>
      <w:r>
        <w:rPr>
          <w:rFonts w:ascii="Tinos" w:hAnsi="Tinos" w:cs="Tinos"/>
          <w:color w:val="000000" w:themeColor="text1"/>
          <w:sz w:val="32"/>
          <w:szCs w:val="32"/>
          <w:highlight w:val="none"/>
          <w:shd w:val="clear" w:color="auto" w:fill="ffffff"/>
        </w:rPr>
      </w:r>
      <w:r>
        <w:rPr>
          <w:rFonts w:ascii="Tinos" w:hAnsi="Tinos" w:cs="Tinos"/>
          <w:color w:val="000000" w:themeColor="text1"/>
          <w:sz w:val="32"/>
          <w:szCs w:val="32"/>
          <w:highlight w:val="none"/>
          <w:shd w:val="clear" w:color="auto" w:fill="ffffff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Например, для бизнес-сообщества и граждан доступны сервисы: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«Земля просто», «Земля для стройки», «Земля для туризма», «Мои объекты недвижимости», «Градостроительная проработка онлайн», «Согласования в с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тройке», «Комплексное развитие территории», «Индивидуальное жилищное строительство». Сервисы помогут найти земли, получить согласования для разрешения на строительство, узнать информацию о правовом статусе территорий и пр.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Д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ля органов власти доступны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ещё  два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 сервиса: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«Умный кадастр» и «Использование пространственных данных в контрольной (надзорной) деятельности». Эти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площадки помогают использовать точные и полные сведения о недвижимости, упрощают анализ данных, помогают в вопросах территориального планирования, превентивно устанавливают причины для отказа в предоставлении государственной или муниципальной услуги и др.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tabs>
          <w:tab w:val="left" w:pos="720" w:leader="none"/>
        </w:tabs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В Забайкальском крае уже заметна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эффективность госпрограммы.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В ЕГРН на 100% внесены сведения о границах Забайкальского края с соседними субъектами и границах муниципальных образований. Также внесены более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2 тысяч границ территориальных зон (ок. 60%), 427 границ населенных пунктов (50%).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</w: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eastAsia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Кроме того, в ЕГР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Н внесены сведения Забайкальского края о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7 особо охраняемых природных территорий федерального значения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из них: 3 национальных парка, 2 государственных природных заказника, 2 государственных природных заповедника, 88 особо охраняемых природных территории регионального значения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: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65 памятников природы, 19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государственных  природных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заказников, 2 природных парка и 2 учебно-научных стационара. </w:t>
      </w: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eastAsia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eastAsia="Liberation Serif" w:cs="Liberation Serif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Также внесены сведения в отношении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156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объектов культурного наследия,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60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территорий объектов культурного наследия и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6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зон охраны объектов культурного наследия.</w:t>
      </w: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Roboto">
    <w:panose1 w:val="02000000000000000000"/>
  </w:font>
  <w:font w:name="Liberation Serif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0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1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1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0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0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9">
    <w:name w:val="Heading 1 Char"/>
    <w:basedOn w:val="953"/>
    <w:link w:val="952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1"/>
    <w:next w:val="951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basedOn w:val="953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1"/>
    <w:next w:val="951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3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1"/>
    <w:next w:val="951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3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1"/>
    <w:next w:val="951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3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1"/>
    <w:next w:val="95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3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1"/>
    <w:next w:val="951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3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1"/>
    <w:next w:val="951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3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1"/>
    <w:next w:val="951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3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Title"/>
    <w:basedOn w:val="951"/>
    <w:next w:val="951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3"/>
    <w:link w:val="796"/>
    <w:uiPriority w:val="10"/>
    <w:rPr>
      <w:sz w:val="48"/>
      <w:szCs w:val="48"/>
    </w:rPr>
  </w:style>
  <w:style w:type="paragraph" w:styleId="798">
    <w:name w:val="Subtitle"/>
    <w:basedOn w:val="951"/>
    <w:next w:val="951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3"/>
    <w:link w:val="798"/>
    <w:uiPriority w:val="11"/>
    <w:rPr>
      <w:sz w:val="24"/>
      <w:szCs w:val="24"/>
    </w:rPr>
  </w:style>
  <w:style w:type="paragraph" w:styleId="800">
    <w:name w:val="Quote"/>
    <w:basedOn w:val="951"/>
    <w:next w:val="951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1"/>
    <w:next w:val="951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character" w:styleId="804">
    <w:name w:val="Header Char"/>
    <w:basedOn w:val="953"/>
    <w:link w:val="968"/>
    <w:uiPriority w:val="99"/>
  </w:style>
  <w:style w:type="character" w:styleId="805">
    <w:name w:val="Footer Char"/>
    <w:basedOn w:val="953"/>
    <w:link w:val="970"/>
    <w:uiPriority w:val="99"/>
  </w:style>
  <w:style w:type="paragraph" w:styleId="806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970"/>
    <w:uiPriority w:val="99"/>
  </w:style>
  <w:style w:type="table" w:styleId="808">
    <w:name w:val="Table Grid"/>
    <w:basedOn w:val="9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8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9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0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1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2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3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3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3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  <w:pPr>
      <w:spacing w:after="200" w:line="276" w:lineRule="auto"/>
    </w:pPr>
  </w:style>
  <w:style w:type="paragraph" w:styleId="952">
    <w:name w:val="Heading 1"/>
    <w:basedOn w:val="951"/>
    <w:next w:val="951"/>
    <w:link w:val="959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3" w:default="1">
    <w:name w:val="Default Paragraph Font"/>
    <w:uiPriority w:val="1"/>
    <w:semiHidden/>
    <w:unhideWhenUsed/>
  </w:style>
  <w:style w:type="table" w:styleId="9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5" w:default="1">
    <w:name w:val="No List"/>
    <w:uiPriority w:val="99"/>
    <w:semiHidden/>
    <w:unhideWhenUsed/>
  </w:style>
  <w:style w:type="paragraph" w:styleId="956">
    <w:name w:val="Balloon Text"/>
    <w:basedOn w:val="951"/>
    <w:link w:val="9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53"/>
    <w:link w:val="956"/>
    <w:uiPriority w:val="99"/>
    <w:semiHidden/>
    <w:rPr>
      <w:rFonts w:ascii="Segoe UI" w:hAnsi="Segoe UI" w:cs="Segoe UI"/>
      <w:sz w:val="18"/>
      <w:szCs w:val="18"/>
    </w:rPr>
  </w:style>
  <w:style w:type="paragraph" w:styleId="958">
    <w:name w:val="No Spacing"/>
    <w:uiPriority w:val="1"/>
    <w:qFormat/>
    <w:pPr>
      <w:spacing w:after="0" w:line="240" w:lineRule="auto"/>
    </w:pPr>
  </w:style>
  <w:style w:type="character" w:styleId="959" w:customStyle="1">
    <w:name w:val="Заголовок 1 Знак"/>
    <w:basedOn w:val="953"/>
    <w:link w:val="9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0">
    <w:name w:val="List Paragraph"/>
    <w:basedOn w:val="951"/>
    <w:uiPriority w:val="34"/>
    <w:qFormat/>
    <w:pPr>
      <w:contextualSpacing/>
      <w:ind w:left="720"/>
      <w:spacing w:after="160" w:line="256" w:lineRule="auto"/>
    </w:pPr>
  </w:style>
  <w:style w:type="character" w:styleId="961">
    <w:name w:val="Hyperlink"/>
    <w:basedOn w:val="953"/>
    <w:uiPriority w:val="99"/>
    <w:unhideWhenUsed/>
    <w:rPr>
      <w:color w:val="0563c1" w:themeColor="hyperlink"/>
      <w:u w:val="single"/>
    </w:rPr>
  </w:style>
  <w:style w:type="character" w:styleId="962">
    <w:name w:val="annotation reference"/>
    <w:basedOn w:val="953"/>
    <w:uiPriority w:val="99"/>
    <w:semiHidden/>
    <w:unhideWhenUsed/>
    <w:rPr>
      <w:sz w:val="16"/>
      <w:szCs w:val="16"/>
    </w:rPr>
  </w:style>
  <w:style w:type="paragraph" w:styleId="963">
    <w:name w:val="annotation text"/>
    <w:basedOn w:val="951"/>
    <w:link w:val="964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4" w:customStyle="1">
    <w:name w:val="Текст примечания Знак"/>
    <w:basedOn w:val="953"/>
    <w:link w:val="963"/>
    <w:uiPriority w:val="99"/>
    <w:semiHidden/>
    <w:rPr>
      <w:sz w:val="20"/>
      <w:szCs w:val="20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b/>
      <w:bCs/>
      <w:sz w:val="20"/>
      <w:szCs w:val="20"/>
    </w:rPr>
  </w:style>
  <w:style w:type="character" w:styleId="967">
    <w:name w:val="Strong"/>
    <w:basedOn w:val="953"/>
    <w:uiPriority w:val="22"/>
    <w:qFormat/>
    <w:rPr>
      <w:b/>
      <w:bCs/>
    </w:rPr>
  </w:style>
  <w:style w:type="paragraph" w:styleId="968">
    <w:name w:val="Header"/>
    <w:basedOn w:val="951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953"/>
    <w:link w:val="968"/>
    <w:uiPriority w:val="99"/>
  </w:style>
  <w:style w:type="paragraph" w:styleId="970">
    <w:name w:val="Footer"/>
    <w:basedOn w:val="951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Нижний колонтитул Знак"/>
    <w:basedOn w:val="953"/>
    <w:link w:val="970"/>
    <w:uiPriority w:val="99"/>
  </w:style>
  <w:style w:type="paragraph" w:styleId="972">
    <w:name w:val="Normal (Web)"/>
    <w:basedOn w:val="9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nspd.gov.ru/#top_sec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99</cp:revision>
  <dcterms:created xsi:type="dcterms:W3CDTF">2022-05-27T10:42:00Z</dcterms:created>
  <dcterms:modified xsi:type="dcterms:W3CDTF">2025-06-23T00:55:40Z</dcterms:modified>
</cp:coreProperties>
</file>