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D7" w:rsidRDefault="004A0303" w:rsidP="004A0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4545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0303" w:rsidRPr="004A0303" w:rsidRDefault="004A0303" w:rsidP="004A0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303" w:rsidRPr="004A0303" w:rsidRDefault="004A0303" w:rsidP="004A0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августа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____/н </w:t>
      </w:r>
    </w:p>
    <w:p w:rsidR="004A0303" w:rsidRDefault="004A0303" w:rsidP="004A0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0303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4A0303" w:rsidRDefault="004A0303" w:rsidP="004A0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0303" w:rsidRDefault="004A0303" w:rsidP="004A03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30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Забайкальского края </w:t>
      </w:r>
      <w:r w:rsidRPr="004A0303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4A0303" w:rsidRDefault="004A0303" w:rsidP="004A03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303" w:rsidRDefault="004A0303" w:rsidP="004A03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030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0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статьёй</w:t>
      </w:r>
      <w:r w:rsidRPr="004A0303">
        <w:rPr>
          <w:rFonts w:ascii="Times New Roman" w:hAnsi="Times New Roman" w:cs="Times New Roman"/>
          <w:sz w:val="28"/>
          <w:szCs w:val="28"/>
        </w:rPr>
        <w:t xml:space="preserve"> 174.2 Бюджетного кодекса Российской Федерации, Уставом </w:t>
      </w:r>
      <w:proofErr w:type="spellStart"/>
      <w:r w:rsidRPr="004A030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A030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Pr="004A030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A030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№ 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3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A030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A030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4A030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A030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303">
        <w:rPr>
          <w:rFonts w:ascii="Times New Roman" w:hAnsi="Times New Roman" w:cs="Times New Roman"/>
          <w:b/>
          <w:sz w:val="28"/>
          <w:szCs w:val="28"/>
        </w:rPr>
        <w:t>т:</w:t>
      </w:r>
    </w:p>
    <w:p w:rsidR="004A0303" w:rsidRPr="004A0303" w:rsidRDefault="004A0303" w:rsidP="004A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303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0303">
        <w:rPr>
          <w:rFonts w:ascii="Times New Roman" w:hAnsi="Times New Roman" w:cs="Times New Roman"/>
          <w:sz w:val="28"/>
          <w:szCs w:val="28"/>
        </w:rPr>
        <w:t xml:space="preserve">Утвердить Порядок и методику планирования бюджетных ассигнований бюджета </w:t>
      </w:r>
      <w:proofErr w:type="spellStart"/>
      <w:r w:rsidRPr="004A030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A030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на очередной финансовый год и плановый период согласно приложению</w:t>
      </w:r>
      <w:r w:rsidR="00AC574C">
        <w:rPr>
          <w:rFonts w:ascii="Times New Roman" w:hAnsi="Times New Roman" w:cs="Times New Roman"/>
          <w:sz w:val="28"/>
          <w:szCs w:val="28"/>
        </w:rPr>
        <w:t xml:space="preserve"> 1</w:t>
      </w:r>
      <w:r w:rsidRPr="004A030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A0303" w:rsidRDefault="004A030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3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4A0303">
        <w:rPr>
          <w:rFonts w:ascii="Times New Roman" w:hAnsi="Times New Roman" w:cs="Times New Roman"/>
          <w:sz w:val="28"/>
          <w:szCs w:val="28"/>
        </w:rPr>
        <w:t xml:space="preserve"> Утвердить форму расчета бюджетных ассигнований на исполнение действующих и принимаемых обязательств на очередной финансовый год согласно приложению</w:t>
      </w:r>
      <w:r w:rsidR="00AC574C">
        <w:rPr>
          <w:rFonts w:ascii="Times New Roman" w:hAnsi="Times New Roman" w:cs="Times New Roman"/>
          <w:sz w:val="28"/>
          <w:szCs w:val="28"/>
        </w:rPr>
        <w:t xml:space="preserve"> 2</w:t>
      </w:r>
      <w:r w:rsidRPr="004A030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A0303" w:rsidRDefault="004A030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F0A5E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Pr="004A030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4A030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A0303">
        <w:rPr>
          <w:rFonts w:ascii="Times New Roman" w:hAnsi="Times New Roman" w:cs="Times New Roman"/>
          <w:sz w:val="28"/>
          <w:szCs w:val="28"/>
        </w:rPr>
        <w:t xml:space="preserve"> муниципального окр</w:t>
      </w:r>
      <w:r w:rsidR="00DF0A5E">
        <w:rPr>
          <w:rFonts w:ascii="Times New Roman" w:hAnsi="Times New Roman" w:cs="Times New Roman"/>
          <w:sz w:val="28"/>
          <w:szCs w:val="28"/>
        </w:rPr>
        <w:t>уга Забайкальского края, главным распорядителям</w:t>
      </w:r>
      <w:r w:rsidRPr="004A0303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DF0A5E">
        <w:rPr>
          <w:rFonts w:ascii="Times New Roman" w:hAnsi="Times New Roman" w:cs="Times New Roman"/>
          <w:sz w:val="28"/>
          <w:szCs w:val="28"/>
        </w:rPr>
        <w:t>тных средств,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расчё</w:t>
      </w:r>
      <w:r w:rsidRPr="004A0303">
        <w:rPr>
          <w:rFonts w:ascii="Times New Roman" w:hAnsi="Times New Roman" w:cs="Times New Roman"/>
          <w:sz w:val="28"/>
          <w:szCs w:val="28"/>
        </w:rPr>
        <w:t xml:space="preserve">т бюджетных ассигнований для составления проекта бюджета на очередной финансовый год и плановый период в Комитет по финансам администрации </w:t>
      </w:r>
      <w:proofErr w:type="spellStart"/>
      <w:r w:rsidRPr="004A030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4A030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срок до 01 декабря текущего финансового года.</w:t>
      </w:r>
    </w:p>
    <w:p w:rsidR="00EA3FB3" w:rsidRPr="00EA3FB3" w:rsidRDefault="004A030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FB3">
        <w:rPr>
          <w:rFonts w:ascii="Times New Roman" w:hAnsi="Times New Roman" w:cs="Times New Roman"/>
          <w:sz w:val="28"/>
          <w:szCs w:val="28"/>
        </w:rPr>
        <w:t xml:space="preserve">4. </w:t>
      </w:r>
      <w:r w:rsidR="00EA3FB3" w:rsidRPr="00EA3FB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="00EA3FB3" w:rsidRPr="00EA3FB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EA3FB3" w:rsidRPr="00EA3FB3">
        <w:rPr>
          <w:rFonts w:ascii="Times New Roman" w:hAnsi="Times New Roman" w:cs="Times New Roman"/>
          <w:sz w:val="28"/>
          <w:szCs w:val="28"/>
        </w:rPr>
        <w:t xml:space="preserve"> район» З</w:t>
      </w:r>
      <w:r w:rsidR="00EA3FB3">
        <w:rPr>
          <w:rFonts w:ascii="Times New Roman" w:hAnsi="Times New Roman" w:cs="Times New Roman"/>
          <w:sz w:val="28"/>
          <w:szCs w:val="28"/>
        </w:rPr>
        <w:t>абайкальского края от 18.12.2015 № 334</w:t>
      </w:r>
      <w:r w:rsidR="00EA3FB3" w:rsidRPr="00EA3FB3">
        <w:rPr>
          <w:rFonts w:ascii="Times New Roman" w:hAnsi="Times New Roman" w:cs="Times New Roman"/>
          <w:sz w:val="28"/>
          <w:szCs w:val="28"/>
        </w:rPr>
        <w:t>/н «Об утверждении Порядка и методики планирования бюджетных ассигнований</w:t>
      </w:r>
      <w:r w:rsidR="00EA3FB3">
        <w:rPr>
          <w:rFonts w:ascii="Times New Roman" w:hAnsi="Times New Roman" w:cs="Times New Roman"/>
          <w:sz w:val="28"/>
          <w:szCs w:val="28"/>
        </w:rPr>
        <w:t xml:space="preserve"> бю</w:t>
      </w:r>
      <w:r w:rsidR="00DF0A5E">
        <w:rPr>
          <w:rFonts w:ascii="Times New Roman" w:hAnsi="Times New Roman" w:cs="Times New Roman"/>
          <w:sz w:val="28"/>
          <w:szCs w:val="28"/>
        </w:rPr>
        <w:t>джета муниципального района «</w:t>
      </w:r>
      <w:proofErr w:type="spellStart"/>
      <w:r w:rsidR="00DF0A5E">
        <w:rPr>
          <w:rFonts w:ascii="Times New Roman" w:hAnsi="Times New Roman" w:cs="Times New Roman"/>
          <w:sz w:val="28"/>
          <w:szCs w:val="28"/>
        </w:rPr>
        <w:t>Улё</w:t>
      </w:r>
      <w:r w:rsidR="00EA3FB3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EA3FB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A3FB3" w:rsidRPr="00EA3FB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период».</w:t>
      </w:r>
    </w:p>
    <w:p w:rsidR="004A030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EA3FB3">
        <w:rPr>
          <w:rFonts w:ascii="Times New Roman" w:hAnsi="Times New Roman" w:cs="Times New Roman"/>
          <w:sz w:val="28"/>
          <w:szCs w:val="28"/>
        </w:rPr>
        <w:t>. 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EA3FB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EA3FB3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- https://uletov.75.ru/.</w:t>
      </w: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 </w:t>
      </w:r>
      <w:r w:rsidRPr="00EA3F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по финансам администрации </w:t>
      </w:r>
      <w:proofErr w:type="spellStart"/>
      <w:r w:rsidRPr="00EA3FB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A3FB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(Осипова Н.В.</w:t>
      </w:r>
      <w:r w:rsidRPr="00EA3FB3">
        <w:rPr>
          <w:rFonts w:ascii="Times New Roman" w:hAnsi="Times New Roman" w:cs="Times New Roman"/>
          <w:sz w:val="28"/>
          <w:szCs w:val="28"/>
        </w:rPr>
        <w:t>).</w:t>
      </w: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A3FB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A3FB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B3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spellStart"/>
      <w:r w:rsidRPr="00EA3FB3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574C">
        <w:rPr>
          <w:rFonts w:ascii="Times New Roman" w:hAnsi="Times New Roman" w:cs="Times New Roman"/>
          <w:sz w:val="28"/>
          <w:szCs w:val="28"/>
        </w:rPr>
        <w:t>1</w:t>
      </w:r>
    </w:p>
    <w:p w:rsidR="00EA3FB3" w:rsidRPr="00EA3FB3" w:rsidRDefault="00EA3FB3" w:rsidP="00EA3FB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A3F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A3FB3" w:rsidRPr="00EA3FB3" w:rsidRDefault="00EA3FB3" w:rsidP="00EA3FB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3FB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A3FB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EA3FB3" w:rsidRDefault="00EA3FB3" w:rsidP="00EA3FB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августа </w:t>
      </w:r>
      <w:r w:rsidRPr="00EA3FB3">
        <w:rPr>
          <w:rFonts w:ascii="Times New Roman" w:hAnsi="Times New Roman" w:cs="Times New Roman"/>
          <w:sz w:val="28"/>
          <w:szCs w:val="28"/>
        </w:rPr>
        <w:t>2025 года №____</w:t>
      </w: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B3">
        <w:rPr>
          <w:rFonts w:ascii="Times New Roman" w:hAnsi="Times New Roman" w:cs="Times New Roman"/>
          <w:b/>
          <w:sz w:val="28"/>
          <w:szCs w:val="28"/>
        </w:rPr>
        <w:t>ПОРЯДОК И МЕТОДИКА ПЛАНИРОВАНИЯ</w:t>
      </w:r>
    </w:p>
    <w:p w:rsidR="00EA3FB3" w:rsidRP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B3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proofErr w:type="spellStart"/>
      <w:r w:rsidRPr="00EA3FB3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EA3FB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на очередной финансовый год и плановый период</w:t>
      </w:r>
    </w:p>
    <w:p w:rsid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B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A3FB3" w:rsidRPr="00EA3FB3" w:rsidRDefault="00EA3FB3" w:rsidP="00EA3FB3"/>
    <w:p w:rsidR="00EA3FB3" w:rsidRPr="00EA3FB3" w:rsidRDefault="00EA3FB3" w:rsidP="00EA3F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 xml:space="preserve">1.1. Настоящие Порядок и методика планирования бюджетных ассигнований бюджета </w:t>
      </w:r>
      <w:proofErr w:type="spellStart"/>
      <w:r w:rsidRPr="00EA3FB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A3FB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на очередной финансовый</w:t>
      </w:r>
      <w:r w:rsidR="00DF0A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EA3FB3">
        <w:rPr>
          <w:rFonts w:ascii="Times New Roman" w:hAnsi="Times New Roman" w:cs="Times New Roman"/>
          <w:sz w:val="28"/>
          <w:szCs w:val="28"/>
        </w:rPr>
        <w:t xml:space="preserve"> и плановый период разр</w:t>
      </w:r>
      <w:r w:rsidR="00967269">
        <w:rPr>
          <w:rFonts w:ascii="Times New Roman" w:hAnsi="Times New Roman" w:cs="Times New Roman"/>
          <w:sz w:val="28"/>
          <w:szCs w:val="28"/>
        </w:rPr>
        <w:t>аботаны в соответствии со статьё</w:t>
      </w:r>
      <w:r w:rsidRPr="00EA3FB3">
        <w:rPr>
          <w:rFonts w:ascii="Times New Roman" w:hAnsi="Times New Roman" w:cs="Times New Roman"/>
          <w:sz w:val="28"/>
          <w:szCs w:val="28"/>
        </w:rPr>
        <w:t>й 174.2 Бюджетного кодекса Российской Федерации в целях методического обеспечения составления обоснований бюджетных ассигнований главных распорядителей средств бюджета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5E" w:rsidRPr="00DF0A5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F0A5E" w:rsidRPr="00DF0A5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DF0A5E">
        <w:rPr>
          <w:rFonts w:ascii="Times New Roman" w:hAnsi="Times New Roman" w:cs="Times New Roman"/>
          <w:sz w:val="28"/>
          <w:szCs w:val="28"/>
        </w:rPr>
        <w:t xml:space="preserve"> (далее - бюджет округа)</w:t>
      </w:r>
      <w:r w:rsidRPr="00EA3FB3">
        <w:rPr>
          <w:rFonts w:ascii="Times New Roman" w:hAnsi="Times New Roman" w:cs="Times New Roman"/>
          <w:sz w:val="28"/>
          <w:szCs w:val="28"/>
        </w:rPr>
        <w:t xml:space="preserve">, распорядителей средств бюджета </w:t>
      </w:r>
      <w:proofErr w:type="spellStart"/>
      <w:r w:rsidRPr="00EA3FB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A3FB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 xml:space="preserve">1.2. Планирование бюджетных ассигнований на очередной финансовый год и плановый период осуществляется в соответствии с расходными обязательствами, обусловленными установленным законодательством Российской Федерации полномочий, в соответствии с ведомственной структурой расходов </w:t>
      </w:r>
      <w:proofErr w:type="spellStart"/>
      <w:r w:rsidRPr="00EA3FB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EA3FB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разрезе главных распорядителей средств бюджета</w:t>
      </w:r>
      <w:r w:rsidR="00DF0A5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A3FB3">
        <w:rPr>
          <w:rFonts w:ascii="Times New Roman" w:hAnsi="Times New Roman" w:cs="Times New Roman"/>
          <w:sz w:val="28"/>
          <w:szCs w:val="28"/>
        </w:rPr>
        <w:t>.</w:t>
      </w: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1.3. 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При осуществлении планирования бюджетных ассигнований на очередной финансовый год и на плановый период в действующие расходные обязательства включаются те расходные обязательства ассигнования, на реализацию которых денежные средства предусмотрены в действующем решении о бюджете округа и планируются к включению в проект бюджета округа на очередной финансовый год и плановый период с изменениями и</w:t>
      </w:r>
      <w:r>
        <w:rPr>
          <w:rFonts w:ascii="Times New Roman" w:hAnsi="Times New Roman" w:cs="Times New Roman"/>
          <w:sz w:val="28"/>
          <w:szCs w:val="28"/>
        </w:rPr>
        <w:t>ли без изменения объё</w:t>
      </w:r>
      <w:r w:rsidRPr="00EA3FB3">
        <w:rPr>
          <w:rFonts w:ascii="Times New Roman" w:hAnsi="Times New Roman" w:cs="Times New Roman"/>
          <w:sz w:val="28"/>
          <w:szCs w:val="28"/>
        </w:rPr>
        <w:t>мов.</w:t>
      </w:r>
    </w:p>
    <w:p w:rsid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При осуществлении планирования бюджетных ассигнований на очередной финансовый год и плановый период в принимаемые расходные обязательства включаются те расходные обязательства, которые планируются к включению в проект бюджета округа на очередной финансовый год и на плановый период впервые.</w:t>
      </w:r>
    </w:p>
    <w:p w:rsidR="0051226A" w:rsidRDefault="0051226A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B3">
        <w:rPr>
          <w:rFonts w:ascii="Times New Roman" w:hAnsi="Times New Roman" w:cs="Times New Roman"/>
          <w:b/>
          <w:sz w:val="28"/>
          <w:szCs w:val="28"/>
        </w:rPr>
        <w:t>II. Порядок планирования бюджетных ассигнований бюджета округа на очередной финансовый год и плановый период (далее - Порядок планирования)</w:t>
      </w:r>
    </w:p>
    <w:p w:rsidR="00EA3FB3" w:rsidRDefault="00EA3FB3" w:rsidP="00EA3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FB3" w:rsidRPr="00EA3FB3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>2.1. Настоящий Порядок планирования опред</w:t>
      </w:r>
      <w:r w:rsidR="00223C77">
        <w:rPr>
          <w:rFonts w:ascii="Times New Roman" w:hAnsi="Times New Roman" w:cs="Times New Roman"/>
          <w:sz w:val="28"/>
          <w:szCs w:val="28"/>
        </w:rPr>
        <w:t>еляет механизм формирования объё</w:t>
      </w:r>
      <w:r w:rsidR="00DF0A5E">
        <w:rPr>
          <w:rFonts w:ascii="Times New Roman" w:hAnsi="Times New Roman" w:cs="Times New Roman"/>
          <w:sz w:val="28"/>
          <w:szCs w:val="28"/>
        </w:rPr>
        <w:t>мов бюджетных ассигнований</w:t>
      </w:r>
      <w:r w:rsidRPr="00EA3FB3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обязательств.</w:t>
      </w:r>
    </w:p>
    <w:p w:rsidR="00223C77" w:rsidRDefault="00EA3FB3" w:rsidP="00EA3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3FB3">
        <w:rPr>
          <w:rFonts w:ascii="Times New Roman" w:hAnsi="Times New Roman" w:cs="Times New Roman"/>
          <w:sz w:val="28"/>
          <w:szCs w:val="28"/>
        </w:rPr>
        <w:t xml:space="preserve">2.2. Планирование бюджетных ассигнований осуществляется в соответствии с расходными обязательствами </w:t>
      </w:r>
      <w:proofErr w:type="spellStart"/>
      <w:r w:rsidR="00223C77" w:rsidRPr="00223C7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23C77" w:rsidRPr="00223C7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223C77">
        <w:rPr>
          <w:rFonts w:ascii="Times New Roman" w:hAnsi="Times New Roman" w:cs="Times New Roman"/>
          <w:sz w:val="28"/>
          <w:szCs w:val="28"/>
        </w:rPr>
        <w:t>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77">
        <w:rPr>
          <w:rFonts w:ascii="Times New Roman" w:hAnsi="Times New Roman" w:cs="Times New Roman"/>
          <w:sz w:val="28"/>
          <w:szCs w:val="28"/>
        </w:rPr>
        <w:tab/>
      </w:r>
      <w:r w:rsidR="00EA3FB3" w:rsidRPr="00EA3FB3">
        <w:rPr>
          <w:rFonts w:ascii="Times New Roman" w:hAnsi="Times New Roman" w:cs="Times New Roman"/>
          <w:sz w:val="28"/>
          <w:szCs w:val="28"/>
        </w:rPr>
        <w:t>Основанием при планировании ассигнований на исполнение действующих расходных обязательств являются данные, указанные в реестрах расходных обязательств главных распорядителей бюджетных средств, представляемых ими в Комитет по финансам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23C7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23C7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EA3FB3" w:rsidRPr="00223C77">
        <w:rPr>
          <w:rFonts w:ascii="Times New Roman" w:hAnsi="Times New Roman" w:cs="Times New Roman"/>
          <w:sz w:val="28"/>
          <w:szCs w:val="28"/>
        </w:rPr>
        <w:t xml:space="preserve"> </w:t>
      </w:r>
      <w:r w:rsidR="00DF0A5E">
        <w:rPr>
          <w:rFonts w:ascii="Times New Roman" w:hAnsi="Times New Roman" w:cs="Times New Roman"/>
          <w:sz w:val="28"/>
          <w:szCs w:val="28"/>
        </w:rPr>
        <w:t>(далее</w:t>
      </w:r>
      <w:r w:rsidR="00EA3FB3" w:rsidRPr="00EA3FB3">
        <w:rPr>
          <w:rFonts w:ascii="Times New Roman" w:hAnsi="Times New Roman" w:cs="Times New Roman"/>
          <w:sz w:val="28"/>
          <w:szCs w:val="28"/>
        </w:rPr>
        <w:t xml:space="preserve"> - орган, исполняющий бюджет) в соответствии с порядком ведения реестра расходных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C77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proofErr w:type="spellStart"/>
      <w:r w:rsidRPr="00223C7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23C77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bookmarkStart w:id="0" w:name="_GoBack"/>
      <w:bookmarkEnd w:id="0"/>
      <w:r w:rsidRPr="00223C77">
        <w:rPr>
          <w:rFonts w:ascii="Times New Roman" w:hAnsi="Times New Roman" w:cs="Times New Roman"/>
          <w:sz w:val="28"/>
          <w:szCs w:val="28"/>
        </w:rPr>
        <w:t>о округа Забайкальского края.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2.3.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 xml:space="preserve">м бюджетных ассигнований на очередной финансовый год определяется на основании решения о бюджете округа </w:t>
      </w:r>
      <w:r w:rsidR="00DF0A5E">
        <w:rPr>
          <w:rFonts w:ascii="Times New Roman" w:hAnsi="Times New Roman" w:cs="Times New Roman"/>
          <w:sz w:val="28"/>
          <w:szCs w:val="28"/>
        </w:rPr>
        <w:t>и нормативных</w:t>
      </w:r>
      <w:r w:rsidR="004A44BA">
        <w:rPr>
          <w:rFonts w:ascii="Times New Roman" w:hAnsi="Times New Roman" w:cs="Times New Roman"/>
          <w:sz w:val="28"/>
          <w:szCs w:val="28"/>
        </w:rPr>
        <w:t xml:space="preserve"> </w:t>
      </w:r>
      <w:r w:rsidRPr="00223C77">
        <w:rPr>
          <w:rFonts w:ascii="Times New Roman" w:hAnsi="Times New Roman" w:cs="Times New Roman"/>
          <w:sz w:val="28"/>
          <w:szCs w:val="28"/>
        </w:rPr>
        <w:t>правовых актов, устанавливающих новые расходные обязательства, и (или) размеры, порядок и сроки индексации действующих обязательств. В случае отсутствия утвержденного нормативного правового акта орган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5E" w:rsidRPr="00DF0A5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F0A5E" w:rsidRPr="00DF0A5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главный распорядитель бюджетных средств одновременно с обоснованиями бюджетных ассигнований предоставляет в орган, исполняющий бюджет его проект.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 бюджетных ассигнований на плановый период определяется органом, исполняющим бюджет, исходя из ассигнований, согласованных на очередной финансовый год.</w:t>
      </w:r>
    </w:p>
    <w:p w:rsidR="00223C77" w:rsidRPr="00223C77" w:rsidRDefault="00DF0A5E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2.4.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A5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DF0A5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223C77" w:rsidRPr="00223C77">
        <w:rPr>
          <w:rFonts w:ascii="Times New Roman" w:hAnsi="Times New Roman" w:cs="Times New Roman"/>
          <w:sz w:val="28"/>
          <w:szCs w:val="28"/>
        </w:rPr>
        <w:t>, главные распорядители бюджетных средств составляют и представляют расч</w:t>
      </w:r>
      <w:r w:rsidR="00223C77"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т бюджетных ассигнований на исполнение действующих и принимаемых обязательств на очередной финансовый год, без уч</w:t>
      </w:r>
      <w:r w:rsidR="00223C77"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та расходов, осуществляемых за сч</w:t>
      </w:r>
      <w:r w:rsidR="00223C77"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т средств других бюджетов бюджетной системы Российской Федерации.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5E" w:rsidRPr="00DF0A5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F0A5E" w:rsidRPr="00DF0A5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главные распорядители бюджетных средств вправе предоставить: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предложения по внесению изменений в распределение бюджетных ассигнований на очередной финансовый год и первый год планового периода по разделам, подразделам, целевым статьям и видам расходов бюджета, предусматривающие увеличение (уменьшение) общего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ассигнований, утвержденных решением о бюджете округа без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 xml:space="preserve">та расходов, </w:t>
      </w:r>
      <w:r w:rsidRPr="00223C77">
        <w:rPr>
          <w:rFonts w:ascii="Times New Roman" w:hAnsi="Times New Roman" w:cs="Times New Roman"/>
          <w:sz w:val="28"/>
          <w:szCs w:val="28"/>
        </w:rPr>
        <w:lastRenderedPageBreak/>
        <w:t>осуществляемых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средств других бюджетов бюджетн</w:t>
      </w:r>
      <w:r w:rsidR="00DF0A5E"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предложения по распределению бюджетных ассигнований на второй год планового периода по разделам, подразделам, целевым статьям и видам расходов бюджета, предусматривающие увеличение (уменьшение)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ассигнований, рассчитанного в соответствии с п. 2.3 Порядка планирования.</w:t>
      </w:r>
    </w:p>
    <w:p w:rsidR="00EA3FB3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При этом предполагаемые увеличения (уменьшения) бюджетных ассигнований должны иметь обоснования в соответствии с п. 2.5 Порядка планирования.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2.5.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на исполнение действующих и принимаемых обязательств, подробное обоснование увеличения (уменьшения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3C77">
        <w:rPr>
          <w:rFonts w:ascii="Times New Roman" w:hAnsi="Times New Roman" w:cs="Times New Roman"/>
          <w:sz w:val="28"/>
          <w:szCs w:val="28"/>
        </w:rPr>
        <w:t xml:space="preserve"> бюджетных ассигнований представляются органами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5E" w:rsidRPr="00DF0A5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F0A5E" w:rsidRPr="00DF0A5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главными распорядителями бюджетных средств на бумажном носителе и в электронном виде.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F0A5E" w:rsidRPr="00DF0A5E">
        <w:t xml:space="preserve"> </w:t>
      </w:r>
      <w:proofErr w:type="spellStart"/>
      <w:r w:rsidR="00DF0A5E" w:rsidRPr="00DF0A5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F0A5E" w:rsidRPr="00DF0A5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главные распорядители бюджетных средств несут ответственность за достоверность и объективность представленной информации.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2.6. Орган, исполняющий бюджет, осуществляет анализ и проверку представленных материалов и, в случае необходимости, направляет органам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5E" w:rsidRPr="00DF0A5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F0A5E" w:rsidRPr="00DF0A5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главным распорядителям бюджетных средств, свои замечания.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Орган, исполняющий бюджет, при наличии неурегулированных разногласий по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му бюджетных ассигнований на очередной финансовый год и плановый период проводит с участием соответствующих органов местного самоуправления</w:t>
      </w:r>
      <w:r w:rsidR="00DF0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5E" w:rsidRPr="00DF0A5E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DF0A5E" w:rsidRPr="00DF0A5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>, главных распорядителей бюджетных средств дополнительное рассмотрение имеющихся разногласий.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77" w:rsidRDefault="00223C77" w:rsidP="0022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77">
        <w:rPr>
          <w:rFonts w:ascii="Times New Roman" w:hAnsi="Times New Roman" w:cs="Times New Roman"/>
          <w:b/>
          <w:sz w:val="28"/>
          <w:szCs w:val="28"/>
        </w:rPr>
        <w:t xml:space="preserve">III. Методика планирования 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223C77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 (далее - Методика планирования)</w:t>
      </w:r>
    </w:p>
    <w:p w:rsidR="00223C77" w:rsidRDefault="00223C77" w:rsidP="00223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3.1. Настоящая Методика планирования определяет порядок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та бюджетных ассигнований на исполнение действующих и принимаемых обязательств.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3.2.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прогнозируемого общего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 основывается на: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реестре расходных обязательств;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 xml:space="preserve">- основных показателях прогноза социально-экономического развития и приоритетных направлениях социально-экономического развития </w:t>
      </w:r>
      <w:proofErr w:type="spellStart"/>
      <w:r w:rsidRPr="00223C77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223C7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3C77">
        <w:rPr>
          <w:rFonts w:ascii="Times New Roman" w:hAnsi="Times New Roman" w:cs="Times New Roman"/>
          <w:sz w:val="28"/>
          <w:szCs w:val="28"/>
        </w:rPr>
        <w:t>- планировании бюджетных ассигнований на оказание муниципальных услуг физическим и юридическим лицам</w:t>
      </w:r>
      <w:r w:rsidR="00DF0A5E">
        <w:rPr>
          <w:rFonts w:ascii="Times New Roman" w:hAnsi="Times New Roman" w:cs="Times New Roman"/>
          <w:sz w:val="28"/>
          <w:szCs w:val="28"/>
        </w:rPr>
        <w:t>, осуществляемом</w:t>
      </w:r>
      <w:r w:rsidRPr="00223C77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том муниципального задания на очередной финансовый год и плановый перио</w:t>
      </w:r>
      <w:r w:rsidR="0051226A">
        <w:rPr>
          <w:rFonts w:ascii="Times New Roman" w:hAnsi="Times New Roman" w:cs="Times New Roman"/>
          <w:sz w:val="28"/>
          <w:szCs w:val="28"/>
        </w:rPr>
        <w:t>д, а также его выполнения в отчё</w:t>
      </w:r>
      <w:r w:rsidRPr="00223C77">
        <w:rPr>
          <w:rFonts w:ascii="Times New Roman" w:hAnsi="Times New Roman" w:cs="Times New Roman"/>
          <w:sz w:val="28"/>
          <w:szCs w:val="28"/>
        </w:rPr>
        <w:t>тном финансовом году и текущем финансовом году.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3.3.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мы бюджетных ассигнований на очередной финансовый год и плановый период рассчитываются на основе базовых показателей.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Базовыми показателями 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та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 на очередной финансовый год являются бюджетные ассигнования, на первый год планового периода предусмотренные решением о бюджете округа без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та расходов, осуществляемых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средств других бюджетов бюджетной системы Р</w:t>
      </w:r>
      <w:r w:rsidR="006D4DB6">
        <w:rPr>
          <w:rFonts w:ascii="Times New Roman" w:hAnsi="Times New Roman" w:cs="Times New Roman"/>
          <w:sz w:val="28"/>
          <w:szCs w:val="28"/>
        </w:rPr>
        <w:t>осс</w:t>
      </w:r>
      <w:r w:rsidR="00967269">
        <w:rPr>
          <w:rFonts w:ascii="Times New Roman" w:hAnsi="Times New Roman" w:cs="Times New Roman"/>
          <w:sz w:val="28"/>
          <w:szCs w:val="28"/>
        </w:rPr>
        <w:t xml:space="preserve">ийской Федерации и нормативными </w:t>
      </w:r>
      <w:r w:rsidR="006D4DB6">
        <w:rPr>
          <w:rFonts w:ascii="Times New Roman" w:hAnsi="Times New Roman" w:cs="Times New Roman"/>
          <w:sz w:val="28"/>
          <w:szCs w:val="28"/>
        </w:rPr>
        <w:t>правовыми актами, устанавливающими</w:t>
      </w:r>
      <w:r w:rsidRPr="00223C77">
        <w:rPr>
          <w:rFonts w:ascii="Times New Roman" w:hAnsi="Times New Roman" w:cs="Times New Roman"/>
          <w:sz w:val="28"/>
          <w:szCs w:val="28"/>
        </w:rPr>
        <w:t xml:space="preserve"> новые расходные обязательства, и (или) размеры, порядок и сроки индексации действующих обязательств.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Базовыми показателями 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та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 на плановый период являются согласованные бюджетные ассигнования на очередной финансовый год.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3.4.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мов бюджетных ассигнований проводится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том некоторых особенностей:</w:t>
      </w:r>
    </w:p>
    <w:p w:rsidR="00223C77" w:rsidRPr="003A17D2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7D2">
        <w:rPr>
          <w:rFonts w:ascii="Times New Roman" w:hAnsi="Times New Roman" w:cs="Times New Roman"/>
          <w:sz w:val="28"/>
          <w:szCs w:val="28"/>
        </w:rPr>
        <w:t>а) бюджетные ассигнования рассчитываются с учётом положений статей 69.1, 7</w:t>
      </w:r>
      <w:r w:rsidR="006D4DB6">
        <w:rPr>
          <w:rFonts w:ascii="Times New Roman" w:hAnsi="Times New Roman" w:cs="Times New Roman"/>
          <w:sz w:val="28"/>
          <w:szCs w:val="28"/>
        </w:rPr>
        <w:t>0, 74.1, 78, 78.1, 79, 80 Бюджетного кодекса Российской Федерации;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б)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производится в зависимости от вида бюджетного ассигнования следующими методами: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нормативным методом, когда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производится на основе нормативов, утвержденных соответствующими нормативными правовыми актами;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методом индексации, когда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производится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C77">
        <w:rPr>
          <w:rFonts w:ascii="Times New Roman" w:hAnsi="Times New Roman" w:cs="Times New Roman"/>
          <w:sz w:val="28"/>
          <w:szCs w:val="28"/>
        </w:rPr>
        <w:t>индексации на уровень инфляции (иной коэффициент)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ма бюджетных ассигнований текущего (предыдущего) финансового года;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плановым методом, когда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бюджетных ассигнований осуществляется в соответствии с показателями, указанными в нормативном правовом акте, долгосрочной целевой программе, ведомственной целевой программе, принятых в установленном порядке;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- иным методом, отличным от нормативного метода, метода индексации и планового метода.</w:t>
      </w:r>
    </w:p>
    <w:p w:rsid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3.5.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мов бюджетных ассигнований на исполнение действующих обязательств производится в следующем порядке:</w:t>
      </w:r>
    </w:p>
    <w:p w:rsidR="00223C77" w:rsidRPr="00223C77" w:rsidRDefault="00223C77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3C77">
        <w:rPr>
          <w:rFonts w:ascii="Times New Roman" w:hAnsi="Times New Roman" w:cs="Times New Roman"/>
          <w:sz w:val="28"/>
          <w:szCs w:val="28"/>
        </w:rPr>
        <w:t>3.5.1. объ</w:t>
      </w:r>
      <w:r w:rsidR="0064361B">
        <w:rPr>
          <w:rFonts w:ascii="Times New Roman" w:hAnsi="Times New Roman" w:cs="Times New Roman"/>
          <w:sz w:val="28"/>
          <w:szCs w:val="28"/>
        </w:rPr>
        <w:t>ё</w:t>
      </w:r>
      <w:r w:rsidRPr="00223C77">
        <w:rPr>
          <w:rFonts w:ascii="Times New Roman" w:hAnsi="Times New Roman" w:cs="Times New Roman"/>
          <w:sz w:val="28"/>
          <w:szCs w:val="28"/>
        </w:rPr>
        <w:t>мы бюджетных ассигнований на оплату труда работников муниципальных учреждений, денежное содержание (денежное вознаграждение, денежное довольствие, заработную плату) работников органов местного самоуправления</w:t>
      </w:r>
      <w:r w:rsidR="006D4D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DB6" w:rsidRPr="006D4DB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D4DB6" w:rsidRPr="006D4DB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 xml:space="preserve">, лиц, замещающих должности муниципальной службы, муниципальных служащих, иных категорий работников, в соответствии с трудовыми договорами (служебными контрактами, контрактами), законодательством Российской Федерации Забайкальского края, </w:t>
      </w:r>
      <w:r w:rsidRPr="00223C7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органов местного самоуправления </w:t>
      </w:r>
      <w:proofErr w:type="spellStart"/>
      <w:r w:rsidR="0064361B" w:rsidRPr="0064361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4361B" w:rsidRPr="0064361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4361B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Pr="00223C77">
        <w:rPr>
          <w:rFonts w:ascii="Times New Roman" w:hAnsi="Times New Roman" w:cs="Times New Roman"/>
          <w:sz w:val="28"/>
          <w:szCs w:val="28"/>
        </w:rPr>
        <w:t xml:space="preserve"> рассчитываются методом индексации: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- при условии индексации оплаты тру</w:t>
      </w:r>
      <w:r>
        <w:rPr>
          <w:rFonts w:ascii="Times New Roman" w:hAnsi="Times New Roman" w:cs="Times New Roman"/>
          <w:sz w:val="28"/>
          <w:szCs w:val="28"/>
        </w:rPr>
        <w:t>да в течение расчётного периода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БА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r w:rsidR="00223C77" w:rsidRPr="00223C77">
        <w:rPr>
          <w:rFonts w:ascii="Times New Roman" w:hAnsi="Times New Roman" w:cs="Times New Roman"/>
          <w:sz w:val="28"/>
          <w:szCs w:val="28"/>
        </w:rPr>
        <w:t>БА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(i-1) + (</w:t>
      </w:r>
      <w:r w:rsidR="00223C77" w:rsidRPr="00223C77">
        <w:rPr>
          <w:rFonts w:ascii="Times New Roman" w:hAnsi="Times New Roman" w:cs="Times New Roman"/>
          <w:sz w:val="28"/>
          <w:szCs w:val="28"/>
        </w:rPr>
        <w:t>БА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(i-1) </w:t>
      </w:r>
      <w:r w:rsidR="00223C77" w:rsidRPr="00223C77">
        <w:rPr>
          <w:rFonts w:ascii="Times New Roman" w:hAnsi="Times New Roman" w:cs="Times New Roman"/>
          <w:sz w:val="28"/>
          <w:szCs w:val="28"/>
        </w:rPr>
        <w:t>х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C77" w:rsidRPr="00223C77">
        <w:rPr>
          <w:rFonts w:ascii="Times New Roman" w:hAnsi="Times New Roman" w:cs="Times New Roman"/>
          <w:sz w:val="28"/>
          <w:szCs w:val="28"/>
        </w:rPr>
        <w:t>ЗП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) / 100 </w:t>
      </w:r>
      <w:r w:rsidR="00223C77" w:rsidRPr="00223C77">
        <w:rPr>
          <w:rFonts w:ascii="Times New Roman" w:hAnsi="Times New Roman" w:cs="Times New Roman"/>
          <w:sz w:val="28"/>
          <w:szCs w:val="28"/>
        </w:rPr>
        <w:t>х</w:t>
      </w:r>
      <w:r w:rsidR="00223C77" w:rsidRPr="00223C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3C77" w:rsidRPr="00223C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/ 12),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61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- при условии индексации опл</w:t>
      </w:r>
      <w:r>
        <w:rPr>
          <w:rFonts w:ascii="Times New Roman" w:hAnsi="Times New Roman" w:cs="Times New Roman"/>
          <w:sz w:val="28"/>
          <w:szCs w:val="28"/>
        </w:rPr>
        <w:t>аты с начала расчётного периода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БА(i) = Б</w:t>
      </w:r>
      <w:r>
        <w:rPr>
          <w:rFonts w:ascii="Times New Roman" w:hAnsi="Times New Roman" w:cs="Times New Roman"/>
          <w:sz w:val="28"/>
          <w:szCs w:val="28"/>
        </w:rPr>
        <w:t>А(i-1) х (1 + ЗП(i) / 100), где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БА(i), БА(i-1) -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м бюджетного ассигнования соответственно в i и (i-1) годах;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ЗП(i) - коэффициент индексации оплаты труда в i году процентах;</w:t>
      </w:r>
    </w:p>
    <w:p w:rsidR="00223C77" w:rsidRP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к(i) - количество месяцев до конца i года с начала индексации оплаты труда в i году;</w:t>
      </w:r>
    </w:p>
    <w:p w:rsidR="00223C77" w:rsidRDefault="0064361B" w:rsidP="00223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C77" w:rsidRPr="00223C77">
        <w:rPr>
          <w:rFonts w:ascii="Times New Roman" w:hAnsi="Times New Roman" w:cs="Times New Roman"/>
          <w:sz w:val="28"/>
          <w:szCs w:val="28"/>
        </w:rPr>
        <w:t>i год - год, на который осуществлялся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т предельных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23C77" w:rsidRPr="00223C77">
        <w:rPr>
          <w:rFonts w:ascii="Times New Roman" w:hAnsi="Times New Roman" w:cs="Times New Roman"/>
          <w:sz w:val="28"/>
          <w:szCs w:val="28"/>
        </w:rPr>
        <w:t>мов бюджетных ассигнований;</w:t>
      </w:r>
    </w:p>
    <w:p w:rsidR="0064361B" w:rsidRPr="0064361B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361B">
        <w:rPr>
          <w:rFonts w:ascii="Times New Roman" w:hAnsi="Times New Roman" w:cs="Times New Roman"/>
          <w:sz w:val="28"/>
          <w:szCs w:val="28"/>
        </w:rPr>
        <w:t>3.5.2.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4361B">
        <w:rPr>
          <w:rFonts w:ascii="Times New Roman" w:hAnsi="Times New Roman" w:cs="Times New Roman"/>
          <w:sz w:val="28"/>
          <w:szCs w:val="28"/>
        </w:rPr>
        <w:t>мы бюджетных ассигнований на иные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методом и</w:t>
      </w:r>
      <w:r>
        <w:rPr>
          <w:rFonts w:ascii="Times New Roman" w:hAnsi="Times New Roman" w:cs="Times New Roman"/>
          <w:sz w:val="28"/>
          <w:szCs w:val="28"/>
        </w:rPr>
        <w:t>ндексации по следующей формуле:</w:t>
      </w:r>
    </w:p>
    <w:p w:rsidR="0064361B" w:rsidRPr="0064361B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361B">
        <w:rPr>
          <w:rFonts w:ascii="Times New Roman" w:hAnsi="Times New Roman" w:cs="Times New Roman"/>
          <w:sz w:val="28"/>
          <w:szCs w:val="28"/>
        </w:rPr>
        <w:t>БА(i) = БА</w:t>
      </w:r>
      <w:r>
        <w:rPr>
          <w:rFonts w:ascii="Times New Roman" w:hAnsi="Times New Roman" w:cs="Times New Roman"/>
          <w:sz w:val="28"/>
          <w:szCs w:val="28"/>
        </w:rPr>
        <w:t>(i-1) х (1 + Инд(i) / 100), где</w:t>
      </w:r>
    </w:p>
    <w:p w:rsidR="0064361B" w:rsidRPr="0064361B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361B">
        <w:rPr>
          <w:rFonts w:ascii="Times New Roman" w:hAnsi="Times New Roman" w:cs="Times New Roman"/>
          <w:sz w:val="28"/>
          <w:szCs w:val="28"/>
        </w:rPr>
        <w:t>БА(i</w:t>
      </w:r>
      <w:r w:rsidR="0051226A">
        <w:rPr>
          <w:rFonts w:ascii="Times New Roman" w:hAnsi="Times New Roman" w:cs="Times New Roman"/>
          <w:sz w:val="28"/>
          <w:szCs w:val="28"/>
        </w:rPr>
        <w:t>), БА(i-1) - объё</w:t>
      </w:r>
      <w:r w:rsidRPr="0064361B">
        <w:rPr>
          <w:rFonts w:ascii="Times New Roman" w:hAnsi="Times New Roman" w:cs="Times New Roman"/>
          <w:sz w:val="28"/>
          <w:szCs w:val="28"/>
        </w:rPr>
        <w:t>м бюджетного ассигнований соответственно в i и (i-1) годах;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7D2">
        <w:rPr>
          <w:rFonts w:ascii="Times New Roman" w:hAnsi="Times New Roman" w:cs="Times New Roman"/>
          <w:sz w:val="28"/>
          <w:szCs w:val="28"/>
        </w:rPr>
        <w:t>Инд(i) - коэффициент индексации в i году в процентах;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i год - год, на который осуществляется расчёт предельных объёмов бюджетных ассигнований;</w:t>
      </w:r>
    </w:p>
    <w:p w:rsidR="0064361B" w:rsidRPr="003A17D2" w:rsidRDefault="006D4DB6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61B" w:rsidRPr="003A17D2">
        <w:rPr>
          <w:rFonts w:ascii="Times New Roman" w:hAnsi="Times New Roman" w:cs="Times New Roman"/>
          <w:sz w:val="28"/>
          <w:szCs w:val="28"/>
        </w:rPr>
        <w:t>3.5.3. объёмы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объёмы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</w:t>
      </w:r>
      <w:r w:rsidR="003A17D2" w:rsidRPr="003A17D2">
        <w:rPr>
          <w:rFonts w:ascii="Times New Roman" w:hAnsi="Times New Roman" w:cs="Times New Roman"/>
          <w:sz w:val="28"/>
          <w:szCs w:val="28"/>
        </w:rPr>
        <w:t>9</w:t>
      </w:r>
      <w:r w:rsidR="0064361B" w:rsidRPr="003A17D2">
        <w:rPr>
          <w:rFonts w:ascii="Times New Roman" w:hAnsi="Times New Roman" w:cs="Times New Roman"/>
          <w:sz w:val="28"/>
          <w:szCs w:val="28"/>
        </w:rPr>
        <w:t>.1 Бюджетного кодекса Российской Федерации) рассчитываются методом индексации, по формуле: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 = Ба(i-1) х (1+ Инд(i) / 100), где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БА(i), БА(i-1) - объём бюджетного ассигнования соответственно в I и (i-1) годах;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Инд(i) - коэффициент индексации в i году в процентах;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i год - год, на который осуществляется расчёт предельных объёмов бюджетных ассигнований;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3.5.4. объёмы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объёмами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при изменении налоговой </w:t>
      </w:r>
      <w:r w:rsidRPr="003A17D2">
        <w:rPr>
          <w:rFonts w:ascii="Times New Roman" w:hAnsi="Times New Roman" w:cs="Times New Roman"/>
          <w:sz w:val="28"/>
          <w:szCs w:val="28"/>
        </w:rPr>
        <w:lastRenderedPageBreak/>
        <w:t>базы или налоговых ставок рассчитываются отдельно по видам налогов, сборов и иных обязательных платежей;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3.5.5. объёмы бюджетных ассигнований на предоставление субсидий некоммерческим организациям, не являющимся муниципальными учреждениями, в том числе в соответствии с договорами, (соглашениями) на оказание указанными организациями муниципальных услуг (выполнение работ) физическим и (или) юридическим лицам (статья 69.1 Бюджетного кодекса Российской Федерации), рассчитываются плановым методом и указываются в соответствии с законами Забайкальского края, нормативными правовыми актами </w:t>
      </w:r>
      <w:proofErr w:type="spellStart"/>
      <w:r w:rsidRPr="003A17D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A17D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967269">
        <w:rPr>
          <w:rFonts w:ascii="Times New Roman" w:hAnsi="Times New Roman" w:cs="Times New Roman"/>
          <w:sz w:val="28"/>
          <w:szCs w:val="28"/>
        </w:rPr>
        <w:t>,</w:t>
      </w:r>
      <w:r w:rsidRPr="003A17D2">
        <w:rPr>
          <w:rFonts w:ascii="Times New Roman" w:hAnsi="Times New Roman" w:cs="Times New Roman"/>
          <w:sz w:val="28"/>
          <w:szCs w:val="28"/>
        </w:rPr>
        <w:t xml:space="preserve"> устанавливающими порядок определения объёма и предоставления указанных субсидий;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3.5.6. объёмы бюджетных ассигнований на реализацию утвержденных долгосрочных целевых программ, (статья 69.1 Бюджетного кодекса Российской Федерации) устанавливаются в объёмах, утвержденных паспортами соответствующих программ;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3.5.7. объёмы бюджетных ассигнований на исполнение публичных нормативных обязательств (статья 74.1 Бюджетного кодекса Российской Федерации) рассчитываются нормативным методом путем умножения действующего норматива на прогнозируемую численность физических лиц, являющихся получателями выплат, а также в случае необходимости методом индексации;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3.5.8. объёмы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Бюджетного кодекса Российской Федерации), рассчитываются: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1) нормативным методом в случае изменения закона Забайкальского края, нормативного правового акта </w:t>
      </w:r>
      <w:proofErr w:type="spellStart"/>
      <w:r w:rsidRPr="003A17D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A17D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определяющего размер либо порядок определения объёмов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выплат, либо с применением условного расчётного норматива по следующей формуле: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 = (БА(i-1) / КП(i-1)) х Инд(i) х КП(i), где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БА(i), БА(i-1) - объём бюджетного ассигнования соответственно в i и (i-1) годах;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КП(i) - прогнозируемая численность получателей социального обеспечения в i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КП(i-1) - численность получателей социального обеспечения в i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БА(i-1) / КП(i-1) - условный расчётный норматив в (i-1)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Инд(i) - коэффициент индексации в i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i год - год, на который осуществляется расчёт предельных объёмов бюджетных ассигнований;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2) для бюджетных ассигнований, объём которых рассчитывается методом, отличным от нормативного, в соответствии с утвержденным </w:t>
      </w:r>
      <w:r w:rsidRPr="003A17D2">
        <w:rPr>
          <w:rFonts w:ascii="Times New Roman" w:hAnsi="Times New Roman" w:cs="Times New Roman"/>
          <w:sz w:val="28"/>
          <w:szCs w:val="28"/>
        </w:rPr>
        <w:lastRenderedPageBreak/>
        <w:t>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</w:t>
      </w:r>
      <w:r w:rsidR="006D4DB6">
        <w:rPr>
          <w:rFonts w:ascii="Times New Roman" w:hAnsi="Times New Roman" w:cs="Times New Roman"/>
          <w:sz w:val="28"/>
          <w:szCs w:val="28"/>
        </w:rPr>
        <w:t xml:space="preserve"> социальной поддержки населения.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3.5.9. объёмы бюджетных ассигнований на командировочные расходы в части суточных и найма жилого помещения рассчитываются нормативным методом с применением показателей, утвержденных соответствующими нормативными правовыми актами Российской Федерации</w:t>
      </w:r>
      <w:r w:rsidR="006D4DB6">
        <w:rPr>
          <w:rFonts w:ascii="Times New Roman" w:hAnsi="Times New Roman" w:cs="Times New Roman"/>
          <w:sz w:val="28"/>
          <w:szCs w:val="28"/>
        </w:rPr>
        <w:t>,</w:t>
      </w:r>
      <w:r w:rsidRPr="003A17D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D4DB6">
        <w:rPr>
          <w:rFonts w:ascii="Times New Roman" w:hAnsi="Times New Roman" w:cs="Times New Roman"/>
          <w:sz w:val="28"/>
          <w:szCs w:val="28"/>
        </w:rPr>
        <w:t>,</w:t>
      </w:r>
      <w:r w:rsidRPr="003A1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D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A17D2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6D4DB6">
        <w:rPr>
          <w:rFonts w:ascii="Times New Roman" w:hAnsi="Times New Roman" w:cs="Times New Roman"/>
          <w:sz w:val="28"/>
          <w:szCs w:val="28"/>
        </w:rPr>
        <w:t>ного округа Забайкальского края.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3.5.10. объёмы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Бюджетного кодекса Российской Федерации), а также субсидий некоммерческим организациям, не являющимся казенными учреждениями (статья 78.1 Бюджетного кодекса Российской Федерации), рассчитываются: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1) плановым методом в соответствии с законами Забайкальского края, нормативными правовыми актами </w:t>
      </w:r>
      <w:proofErr w:type="spellStart"/>
      <w:r w:rsidRPr="003A17D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A17D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устанавливающими порядок определения объёма и предоставления указанных субсидий;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2) принимаются равными объёмам соответствующих бюджетных ассигнований в текущем году;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3) планирование бюджетных ассигнований на оказание муниципальных услуг физическим и юридическим лицам осуществляется с учётом муниципального задания на очередной финансовый год и плановый период, а также его выполнения в отчётном финансовом году и текущем финансовом году.</w:t>
      </w:r>
    </w:p>
    <w:p w:rsidR="0064361B" w:rsidRPr="003A17D2" w:rsidRDefault="0064361B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3.5.11. объёмы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 (статьи 79 и 80 Бюджетного кодекса Российской Федерации), рассчитываются плановым методом в соответствии с нормативными правовыми актами </w:t>
      </w:r>
      <w:proofErr w:type="spellStart"/>
      <w:r w:rsidR="00AC574C" w:rsidRPr="003A17D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AC574C" w:rsidRPr="003A17D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</w:t>
      </w:r>
      <w:r w:rsidRPr="003A17D2">
        <w:rPr>
          <w:rFonts w:ascii="Times New Roman" w:hAnsi="Times New Roman" w:cs="Times New Roman"/>
          <w:sz w:val="28"/>
          <w:szCs w:val="28"/>
        </w:rPr>
        <w:t>на основании которых планируется пред</w:t>
      </w:r>
      <w:r w:rsidR="006D4DB6">
        <w:rPr>
          <w:rFonts w:ascii="Times New Roman" w:hAnsi="Times New Roman" w:cs="Times New Roman"/>
          <w:sz w:val="28"/>
          <w:szCs w:val="28"/>
        </w:rPr>
        <w:t>оставление указанных инвестиций.</w:t>
      </w:r>
    </w:p>
    <w:p w:rsidR="0064361B" w:rsidRPr="003A17D2" w:rsidRDefault="00AC574C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</w:r>
      <w:r w:rsidR="0064361B" w:rsidRPr="003A17D2">
        <w:rPr>
          <w:rFonts w:ascii="Times New Roman" w:hAnsi="Times New Roman" w:cs="Times New Roman"/>
          <w:sz w:val="28"/>
          <w:szCs w:val="28"/>
        </w:rPr>
        <w:t>3.5.12. объ</w:t>
      </w:r>
      <w:r w:rsidRPr="003A17D2">
        <w:rPr>
          <w:rFonts w:ascii="Times New Roman" w:hAnsi="Times New Roman" w:cs="Times New Roman"/>
          <w:sz w:val="28"/>
          <w:szCs w:val="28"/>
        </w:rPr>
        <w:t>ё</w:t>
      </w:r>
      <w:r w:rsidR="0064361B" w:rsidRPr="003A17D2">
        <w:rPr>
          <w:rFonts w:ascii="Times New Roman" w:hAnsi="Times New Roman" w:cs="Times New Roman"/>
          <w:sz w:val="28"/>
          <w:szCs w:val="28"/>
        </w:rPr>
        <w:t xml:space="preserve">мы субсидий бюджетам муниципальных образований на </w:t>
      </w:r>
      <w:proofErr w:type="spellStart"/>
      <w:r w:rsidR="0064361B" w:rsidRPr="003A17D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4361B" w:rsidRPr="003A17D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бюджетные инвестиции в которые осуществляются из местных бюджетов (статья 79 Бюджетного кодекса Российской Федерации), рассчитываются плановым методом в соответствии с нормативными правовыми актами Забайкальского края и </w:t>
      </w:r>
      <w:proofErr w:type="spellStart"/>
      <w:r w:rsidRPr="003A17D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A17D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64361B" w:rsidRPr="003A17D2">
        <w:rPr>
          <w:rFonts w:ascii="Times New Roman" w:hAnsi="Times New Roman" w:cs="Times New Roman"/>
          <w:sz w:val="28"/>
          <w:szCs w:val="28"/>
        </w:rPr>
        <w:t>на основании которых планируется предоставление субсидий;</w:t>
      </w:r>
    </w:p>
    <w:p w:rsidR="0064361B" w:rsidRPr="003A17D2" w:rsidRDefault="00AC574C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</w:r>
      <w:r w:rsidR="0064361B" w:rsidRPr="003A17D2">
        <w:rPr>
          <w:rFonts w:ascii="Times New Roman" w:hAnsi="Times New Roman" w:cs="Times New Roman"/>
          <w:sz w:val="28"/>
          <w:szCs w:val="28"/>
        </w:rPr>
        <w:t>3.5.13. объ</w:t>
      </w:r>
      <w:r w:rsidRPr="003A17D2">
        <w:rPr>
          <w:rFonts w:ascii="Times New Roman" w:hAnsi="Times New Roman" w:cs="Times New Roman"/>
          <w:sz w:val="28"/>
          <w:szCs w:val="28"/>
        </w:rPr>
        <w:t>ё</w:t>
      </w:r>
      <w:r w:rsidR="0064361B" w:rsidRPr="003A17D2">
        <w:rPr>
          <w:rFonts w:ascii="Times New Roman" w:hAnsi="Times New Roman" w:cs="Times New Roman"/>
          <w:sz w:val="28"/>
          <w:szCs w:val="28"/>
        </w:rPr>
        <w:t>мы бюджетных ассигнований на исполнение обязательств по предоставлению межбюджетных трансфертов (статья 69 Бюджетного кодекса Российской Федерации) рассчитываются:</w:t>
      </w:r>
    </w:p>
    <w:p w:rsidR="0064361B" w:rsidRPr="003A17D2" w:rsidRDefault="00AC574C" w:rsidP="0064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</w:r>
      <w:r w:rsidR="0064361B" w:rsidRPr="003A17D2">
        <w:rPr>
          <w:rFonts w:ascii="Times New Roman" w:hAnsi="Times New Roman" w:cs="Times New Roman"/>
          <w:sz w:val="28"/>
          <w:szCs w:val="28"/>
        </w:rPr>
        <w:t>1) Нормативным, плановым и иными методами с уч</w:t>
      </w:r>
      <w:r w:rsidRPr="003A17D2">
        <w:rPr>
          <w:rFonts w:ascii="Times New Roman" w:hAnsi="Times New Roman" w:cs="Times New Roman"/>
          <w:sz w:val="28"/>
          <w:szCs w:val="28"/>
        </w:rPr>
        <w:t>ё</w:t>
      </w:r>
      <w:r w:rsidR="0064361B" w:rsidRPr="003A17D2">
        <w:rPr>
          <w:rFonts w:ascii="Times New Roman" w:hAnsi="Times New Roman" w:cs="Times New Roman"/>
          <w:sz w:val="28"/>
          <w:szCs w:val="28"/>
        </w:rPr>
        <w:t xml:space="preserve">том положений нормативных правовых актов Забайкальского края, </w:t>
      </w:r>
      <w:proofErr w:type="spellStart"/>
      <w:r w:rsidRPr="003A17D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A17D2">
        <w:rPr>
          <w:rFonts w:ascii="Times New Roman" w:hAnsi="Times New Roman" w:cs="Times New Roman"/>
          <w:sz w:val="28"/>
          <w:szCs w:val="28"/>
        </w:rPr>
        <w:t xml:space="preserve"> </w:t>
      </w:r>
      <w:r w:rsidRPr="003A17D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Забайкальского края</w:t>
      </w:r>
      <w:r w:rsidR="0064361B" w:rsidRPr="003A17D2">
        <w:rPr>
          <w:rFonts w:ascii="Times New Roman" w:hAnsi="Times New Roman" w:cs="Times New Roman"/>
          <w:sz w:val="28"/>
          <w:szCs w:val="28"/>
        </w:rPr>
        <w:t xml:space="preserve"> на основании которых, планируется предоставление указанных межбюджетных трансфертов.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2) Методом индексации по формуле: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 = БА(i-1) х (1 + Инд(i) / 100), где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БА(i), БА(i-1) - объём бюджетного ассигнования соответственно в i и (i-1) годах;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Инд(i) - коэффициент индексации в i году в процентах;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i год - год, на который осуществляется расчёт предельных объёмов бюджетных ассигнований.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3) Принимаются равными объёмами бюджетных ассигнований на исполнение обязательств по предоставлению соответствующих межбюджетных трансфертов на (i-1) год.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>Планирование бюджетных ассигнований за счёт межбюджетных трансфертов, предоставляемых их федерального краевого бюджетов, осуществляется в соответствии с проектами законов о федеральном и краевом бюджетах на очередной финансовый год и плановый период, другим федеральными и краевыми нормативно-правовым актами;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3.5.14. объёмы бюджетных ассигнований на обслуживание муниципального долга (статья 69 Бюджетного кодекса Российской Федерации) рассчитываются в соответствии с нормативными правовыми актами Забайкальского края </w:t>
      </w:r>
      <w:proofErr w:type="spellStart"/>
      <w:r w:rsidRPr="003A17D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A17D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муниципальными контрактами, договорами (соглашения</w:t>
      </w:r>
      <w:r w:rsidR="006D4DB6">
        <w:rPr>
          <w:rFonts w:ascii="Times New Roman" w:hAnsi="Times New Roman" w:cs="Times New Roman"/>
          <w:sz w:val="28"/>
          <w:szCs w:val="28"/>
        </w:rPr>
        <w:t>ми</w:t>
      </w:r>
      <w:r w:rsidRPr="003A17D2">
        <w:rPr>
          <w:rFonts w:ascii="Times New Roman" w:hAnsi="Times New Roman" w:cs="Times New Roman"/>
          <w:sz w:val="28"/>
          <w:szCs w:val="28"/>
        </w:rPr>
        <w:t>), определяющими условия привлечения и обращения муниципальных долговых обязательств, а также прогнозируемыми объёмами привлечения и погашения муниципальных заимствований исходя из планируемого дефицита бюджета</w:t>
      </w:r>
      <w:r w:rsidR="006D4DB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A17D2">
        <w:rPr>
          <w:rFonts w:ascii="Times New Roman" w:hAnsi="Times New Roman" w:cs="Times New Roman"/>
          <w:sz w:val="28"/>
          <w:szCs w:val="28"/>
        </w:rPr>
        <w:t>, прогнозир</w:t>
      </w:r>
      <w:r w:rsidR="006D4DB6">
        <w:rPr>
          <w:rFonts w:ascii="Times New Roman" w:hAnsi="Times New Roman" w:cs="Times New Roman"/>
          <w:sz w:val="28"/>
          <w:szCs w:val="28"/>
        </w:rPr>
        <w:t>уемого уровня процентной ставки.</w:t>
      </w:r>
    </w:p>
    <w:p w:rsidR="00AC574C" w:rsidRPr="003A17D2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3.5.15. планирование бюджетных ассигнований на исполнение судебных актов по искам к </w:t>
      </w:r>
      <w:proofErr w:type="spellStart"/>
      <w:r w:rsidR="006D4DB6">
        <w:rPr>
          <w:rFonts w:ascii="Times New Roman" w:hAnsi="Times New Roman" w:cs="Times New Roman"/>
          <w:sz w:val="28"/>
          <w:szCs w:val="28"/>
        </w:rPr>
        <w:t>Улётовскому</w:t>
      </w:r>
      <w:proofErr w:type="spellEnd"/>
      <w:r w:rsidR="006D4DB6">
        <w:rPr>
          <w:rFonts w:ascii="Times New Roman" w:hAnsi="Times New Roman" w:cs="Times New Roman"/>
          <w:sz w:val="28"/>
          <w:szCs w:val="28"/>
        </w:rPr>
        <w:t xml:space="preserve"> </w:t>
      </w:r>
      <w:r w:rsidRPr="003A17D2">
        <w:rPr>
          <w:rFonts w:ascii="Times New Roman" w:hAnsi="Times New Roman" w:cs="Times New Roman"/>
          <w:sz w:val="28"/>
          <w:szCs w:val="28"/>
        </w:rPr>
        <w:t xml:space="preserve">муниципальному округу </w:t>
      </w:r>
      <w:r w:rsidR="006D4DB6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3A17D2">
        <w:rPr>
          <w:rFonts w:ascii="Times New Roman" w:hAnsi="Times New Roman" w:cs="Times New Roman"/>
          <w:sz w:val="28"/>
          <w:szCs w:val="28"/>
        </w:rPr>
        <w:t xml:space="preserve">о возмещении вреда, причиненному гражданину или юридическому лицу в результате незаконных действий (бездействия) органов </w:t>
      </w:r>
      <w:r w:rsidR="006D4DB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6D4DB6" w:rsidRPr="006D4DB6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6D4DB6" w:rsidRPr="006D4DB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3A17D2">
        <w:rPr>
          <w:rFonts w:ascii="Times New Roman" w:hAnsi="Times New Roman" w:cs="Times New Roman"/>
          <w:sz w:val="28"/>
          <w:szCs w:val="28"/>
        </w:rPr>
        <w:t>,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AC574C" w:rsidRDefault="00AC574C" w:rsidP="00AC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574C" w:rsidSect="004A44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A17D2">
        <w:rPr>
          <w:rFonts w:ascii="Times New Roman" w:hAnsi="Times New Roman" w:cs="Times New Roman"/>
          <w:sz w:val="28"/>
          <w:szCs w:val="28"/>
        </w:rPr>
        <w:tab/>
        <w:t xml:space="preserve">3.6. Планирование бюджетных ассигнований на исполнение принимаемых обязательств осуществляется в зависимости от вида бюджетного ассигнования по аналогии, в соответствии с настоящей методикой. 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AC5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AC574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574C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AC574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AC574C">
        <w:rPr>
          <w:rFonts w:ascii="Times New Roman" w:hAnsi="Times New Roman" w:cs="Times New Roman"/>
          <w:sz w:val="28"/>
          <w:szCs w:val="28"/>
        </w:rPr>
        <w:t>от «__» августа 2025 года №____</w:t>
      </w:r>
      <w:r>
        <w:rPr>
          <w:rFonts w:ascii="Times New Roman" w:hAnsi="Times New Roman" w:cs="Times New Roman"/>
          <w:sz w:val="28"/>
          <w:szCs w:val="28"/>
        </w:rPr>
        <w:t>/н</w:t>
      </w:r>
    </w:p>
    <w:p w:rsidR="00AC574C" w:rsidRPr="00AC574C" w:rsidRDefault="00AC574C" w:rsidP="00AC574C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4C" w:rsidRP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4C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AC574C" w:rsidRP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4C">
        <w:rPr>
          <w:rFonts w:ascii="Times New Roman" w:hAnsi="Times New Roman" w:cs="Times New Roman"/>
          <w:b/>
          <w:sz w:val="28"/>
          <w:szCs w:val="28"/>
        </w:rPr>
        <w:t>бюджетных ассигнований на исполнение действующих и принимаемых обязательств</w:t>
      </w: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4C">
        <w:rPr>
          <w:rFonts w:ascii="Times New Roman" w:hAnsi="Times New Roman" w:cs="Times New Roman"/>
          <w:b/>
          <w:sz w:val="28"/>
          <w:szCs w:val="28"/>
        </w:rPr>
        <w:t>на очередной финансовый год</w:t>
      </w:r>
    </w:p>
    <w:p w:rsid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496"/>
        <w:gridCol w:w="455"/>
        <w:gridCol w:w="774"/>
        <w:gridCol w:w="1408"/>
        <w:gridCol w:w="1520"/>
        <w:gridCol w:w="1408"/>
        <w:gridCol w:w="1248"/>
        <w:gridCol w:w="1144"/>
        <w:gridCol w:w="1088"/>
        <w:gridCol w:w="1069"/>
        <w:gridCol w:w="1273"/>
        <w:gridCol w:w="1124"/>
        <w:gridCol w:w="1113"/>
      </w:tblGrid>
      <w:tr w:rsidR="00AC574C" w:rsidTr="0021544C">
        <w:tc>
          <w:tcPr>
            <w:tcW w:w="959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proofErr w:type="spellStart"/>
            <w:r>
              <w:t>Наиме</w:t>
            </w:r>
            <w:proofErr w:type="spellEnd"/>
            <w:r>
              <w:t>-нова-</w:t>
            </w:r>
            <w:proofErr w:type="spellStart"/>
            <w:r>
              <w:t>ние</w:t>
            </w:r>
            <w:proofErr w:type="spellEnd"/>
          </w:p>
          <w:p w:rsidR="00AC574C" w:rsidRDefault="00AC574C" w:rsidP="0021544C">
            <w:pPr>
              <w:pStyle w:val="ConsPlusNormal"/>
              <w:jc w:val="both"/>
            </w:pPr>
            <w:proofErr w:type="spellStart"/>
            <w:proofErr w:type="gramStart"/>
            <w:r>
              <w:t>расхо-дов</w:t>
            </w:r>
            <w:proofErr w:type="spellEnd"/>
            <w:proofErr w:type="gramEnd"/>
          </w:p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283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УСР</w:t>
            </w:r>
          </w:p>
        </w:tc>
        <w:tc>
          <w:tcPr>
            <w:tcW w:w="709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Вид</w:t>
            </w:r>
          </w:p>
          <w:p w:rsidR="00AC574C" w:rsidRDefault="00AC574C" w:rsidP="0021544C">
            <w:pPr>
              <w:pStyle w:val="ConsPlusNormal"/>
              <w:jc w:val="both"/>
            </w:pPr>
            <w:r>
              <w:t>рас-хо-</w:t>
            </w:r>
            <w:proofErr w:type="spellStart"/>
            <w:r>
              <w:t>дов</w:t>
            </w:r>
            <w:proofErr w:type="spellEnd"/>
          </w:p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284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КОСТУ</w:t>
            </w:r>
          </w:p>
        </w:tc>
        <w:tc>
          <w:tcPr>
            <w:tcW w:w="9072" w:type="dxa"/>
            <w:gridSpan w:val="7"/>
          </w:tcPr>
          <w:p w:rsidR="00AC574C" w:rsidRDefault="00AC574C" w:rsidP="0021544C">
            <w:pPr>
              <w:pStyle w:val="ConsPlusNormal"/>
              <w:jc w:val="both"/>
            </w:pPr>
            <w:r>
              <w:t>Действующие обязательства</w:t>
            </w:r>
          </w:p>
        </w:tc>
        <w:tc>
          <w:tcPr>
            <w:tcW w:w="1559" w:type="dxa"/>
            <w:vMerge w:val="restart"/>
          </w:tcPr>
          <w:p w:rsidR="00AC574C" w:rsidRDefault="0051226A" w:rsidP="0021544C">
            <w:pPr>
              <w:pStyle w:val="ConsPlusNormal"/>
              <w:jc w:val="both"/>
            </w:pPr>
            <w:r>
              <w:t>Объё</w:t>
            </w:r>
            <w:r w:rsidR="00AC574C">
              <w:t>м ассигнований необходимый для исполнения принимаемых обязательств</w:t>
            </w:r>
          </w:p>
        </w:tc>
        <w:tc>
          <w:tcPr>
            <w:tcW w:w="1276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Итого согласовано с комитетом по финансам</w:t>
            </w:r>
          </w:p>
        </w:tc>
        <w:tc>
          <w:tcPr>
            <w:tcW w:w="644" w:type="dxa"/>
            <w:vMerge w:val="restart"/>
          </w:tcPr>
          <w:p w:rsidR="00AC574C" w:rsidRDefault="00AC574C" w:rsidP="0021544C">
            <w:pPr>
              <w:pStyle w:val="ConsPlusNormal"/>
              <w:jc w:val="both"/>
            </w:pPr>
            <w:r>
              <w:t>Отклонение</w:t>
            </w:r>
          </w:p>
        </w:tc>
      </w:tr>
      <w:tr w:rsidR="00AC574C" w:rsidTr="0021544C"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1417" w:type="dxa"/>
          </w:tcPr>
          <w:p w:rsidR="00AC574C" w:rsidRDefault="00AC574C" w:rsidP="0021544C">
            <w:pPr>
              <w:pStyle w:val="ConsPlusNormal"/>
              <w:jc w:val="both"/>
            </w:pPr>
            <w:r>
              <w:t>Предусмотрено бюджетных ассигнований на текущий год</w:t>
            </w:r>
          </w:p>
        </w:tc>
        <w:tc>
          <w:tcPr>
            <w:tcW w:w="1134" w:type="dxa"/>
          </w:tcPr>
          <w:p w:rsidR="00AC574C" w:rsidRDefault="00AC574C" w:rsidP="0021544C">
            <w:pPr>
              <w:pStyle w:val="ConsPlusNormal"/>
              <w:jc w:val="both"/>
            </w:pPr>
            <w:r>
              <w:t>Финансирование по состоянию на 1 число</w:t>
            </w: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Предусмотрено бюджетных ассигнований на текущий финансовый год</w:t>
            </w:r>
          </w:p>
        </w:tc>
        <w:tc>
          <w:tcPr>
            <w:tcW w:w="1701" w:type="dxa"/>
          </w:tcPr>
          <w:p w:rsidR="00AC574C" w:rsidRDefault="00AC574C" w:rsidP="0021544C">
            <w:pPr>
              <w:pStyle w:val="ConsPlusNormal"/>
              <w:jc w:val="both"/>
            </w:pPr>
            <w:r>
              <w:t>Уменьшено (-) увеличено (+)</w:t>
            </w:r>
          </w:p>
          <w:p w:rsidR="00AC574C" w:rsidRDefault="00AC574C" w:rsidP="0021544C">
            <w:pPr>
              <w:pStyle w:val="ConsPlusNormal"/>
              <w:jc w:val="both"/>
            </w:pPr>
            <w:r>
              <w:t>ассигнований в течении года</w:t>
            </w:r>
          </w:p>
        </w:tc>
        <w:tc>
          <w:tcPr>
            <w:tcW w:w="993" w:type="dxa"/>
          </w:tcPr>
          <w:p w:rsidR="00AC574C" w:rsidRDefault="00AC574C" w:rsidP="0021544C">
            <w:pPr>
              <w:pStyle w:val="ConsPlusNormal"/>
              <w:jc w:val="both"/>
            </w:pPr>
            <w:r>
              <w:t>Дополни-тельная потребность</w:t>
            </w:r>
          </w:p>
        </w:tc>
        <w:tc>
          <w:tcPr>
            <w:tcW w:w="850" w:type="dxa"/>
          </w:tcPr>
          <w:p w:rsidR="00AC574C" w:rsidRDefault="00AC574C" w:rsidP="0021544C">
            <w:pPr>
              <w:pStyle w:val="ConsPlusNormal"/>
              <w:jc w:val="both"/>
            </w:pPr>
            <w:proofErr w:type="spellStart"/>
            <w:r>
              <w:t>Ожи</w:t>
            </w:r>
            <w:proofErr w:type="spellEnd"/>
            <w:r>
              <w:t>-</w:t>
            </w:r>
            <w:proofErr w:type="spellStart"/>
            <w:r>
              <w:t>дае</w:t>
            </w:r>
            <w:proofErr w:type="spellEnd"/>
            <w:r>
              <w:t>-мое исполнение</w:t>
            </w:r>
          </w:p>
        </w:tc>
        <w:tc>
          <w:tcPr>
            <w:tcW w:w="1418" w:type="dxa"/>
          </w:tcPr>
          <w:p w:rsidR="00AC574C" w:rsidRDefault="00AC574C" w:rsidP="0021544C">
            <w:pPr>
              <w:pStyle w:val="ConsPlusNormal"/>
              <w:jc w:val="both"/>
            </w:pPr>
            <w:r>
              <w:t>Остаток сметных назначений на 1 января</w:t>
            </w: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  <w:tc>
          <w:tcPr>
            <w:tcW w:w="0" w:type="auto"/>
            <w:vMerge/>
          </w:tcPr>
          <w:p w:rsidR="00AC574C" w:rsidRDefault="00AC574C" w:rsidP="0021544C">
            <w:pPr>
              <w:pStyle w:val="ConsPlusNormal"/>
            </w:pPr>
          </w:p>
        </w:tc>
      </w:tr>
      <w:tr w:rsidR="00AC574C" w:rsidTr="0021544C">
        <w:tc>
          <w:tcPr>
            <w:tcW w:w="95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83" w:type="dxa"/>
          </w:tcPr>
          <w:p w:rsidR="00AC574C" w:rsidRDefault="00AC574C" w:rsidP="0021544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0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84" w:type="dxa"/>
          </w:tcPr>
          <w:p w:rsidR="00AC574C" w:rsidRDefault="00AC574C" w:rsidP="0021544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AC574C" w:rsidRDefault="00AC574C" w:rsidP="0021544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AC574C" w:rsidRDefault="00AC574C" w:rsidP="0021544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701" w:type="dxa"/>
          </w:tcPr>
          <w:p w:rsidR="00AC574C" w:rsidRDefault="00AC574C" w:rsidP="0021544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993" w:type="dxa"/>
          </w:tcPr>
          <w:p w:rsidR="00AC574C" w:rsidRDefault="00AC574C" w:rsidP="0021544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850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418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276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44" w:type="dxa"/>
          </w:tcPr>
          <w:p w:rsidR="00AC574C" w:rsidRDefault="00AC574C" w:rsidP="0021544C">
            <w:pPr>
              <w:pStyle w:val="ConsPlusNormal"/>
              <w:jc w:val="both"/>
            </w:pPr>
            <w:r>
              <w:t>14</w:t>
            </w:r>
          </w:p>
        </w:tc>
      </w:tr>
      <w:tr w:rsidR="00AC574C" w:rsidTr="0021544C">
        <w:tc>
          <w:tcPr>
            <w:tcW w:w="959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284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  <w:tc>
          <w:tcPr>
            <w:tcW w:w="644" w:type="dxa"/>
          </w:tcPr>
          <w:p w:rsidR="00AC574C" w:rsidRDefault="00AC574C" w:rsidP="0021544C">
            <w:pPr>
              <w:pStyle w:val="ConsPlusNormal"/>
              <w:jc w:val="both"/>
            </w:pPr>
          </w:p>
        </w:tc>
      </w:tr>
    </w:tbl>
    <w:p w:rsidR="00AC574C" w:rsidRPr="00AC574C" w:rsidRDefault="00AC574C" w:rsidP="00AC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574C" w:rsidRPr="00AC574C" w:rsidSect="00AC574C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960"/>
    <w:multiLevelType w:val="hybridMultilevel"/>
    <w:tmpl w:val="EC66B9CE"/>
    <w:lvl w:ilvl="0" w:tplc="209E9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24C7"/>
    <w:multiLevelType w:val="hybridMultilevel"/>
    <w:tmpl w:val="4E5CAD90"/>
    <w:lvl w:ilvl="0" w:tplc="E222C16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3"/>
    <w:rsid w:val="00223C77"/>
    <w:rsid w:val="0026657E"/>
    <w:rsid w:val="003A17D2"/>
    <w:rsid w:val="003A73D7"/>
    <w:rsid w:val="004A0303"/>
    <w:rsid w:val="004A44BA"/>
    <w:rsid w:val="0051226A"/>
    <w:rsid w:val="0064361B"/>
    <w:rsid w:val="006D4DB6"/>
    <w:rsid w:val="00967269"/>
    <w:rsid w:val="00AC574C"/>
    <w:rsid w:val="00DF0A5E"/>
    <w:rsid w:val="00EA3FB3"/>
    <w:rsid w:val="00E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F1DC"/>
  <w15:chartTrackingRefBased/>
  <w15:docId w15:val="{3A7ECB1E-763F-4FB4-A71E-FFDF565A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3FB3"/>
    <w:rPr>
      <w:color w:val="0563C1" w:themeColor="hyperlink"/>
      <w:u w:val="single"/>
    </w:rPr>
  </w:style>
  <w:style w:type="paragraph" w:customStyle="1" w:styleId="ConsPlusNormal">
    <w:name w:val="ConsPlusNormal"/>
    <w:rsid w:val="00AC574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2025-08-15T06:27:00Z</dcterms:created>
  <dcterms:modified xsi:type="dcterms:W3CDTF">2025-08-15T06:27:00Z</dcterms:modified>
</cp:coreProperties>
</file>