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D" w:rsidRPr="00B05FCD" w:rsidRDefault="00B05FCD" w:rsidP="00B05FC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05F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Разъяснены особенности применения упрощенной системы налогообложения</w:t>
      </w:r>
    </w:p>
    <w:p w:rsidR="00B05FCD" w:rsidRDefault="00B05FCD" w:rsidP="00B05FCD">
      <w:pPr>
        <w:pStyle w:val="a3"/>
      </w:pPr>
      <w:r>
        <w:t xml:space="preserve">Вновь зарегистрированный индивидуальный предприниматель вправе уведомить о переходе на упрощенную систему налогообложения не позднее 30 календарных дней </w:t>
      </w:r>
      <w:proofErr w:type="gramStart"/>
      <w:r>
        <w:t>с даты постановки</w:t>
      </w:r>
      <w:proofErr w:type="gramEnd"/>
      <w:r>
        <w:t xml:space="preserve"> на учет в налоговом органе, указанной в соответствующем свидетельстве. Те ИП, которые не сделали этого в указанные сроки, не вправе применять УСН. Такой вывод следует из </w:t>
      </w:r>
      <w:hyperlink r:id="rId6" w:anchor="block_100422" w:tgtFrame="_blank" w:history="1">
        <w:r>
          <w:rPr>
            <w:rStyle w:val="a4"/>
          </w:rPr>
          <w:t>п. 2 ст. 346.12 НК РФ</w:t>
        </w:r>
      </w:hyperlink>
      <w:r>
        <w:t xml:space="preserve"> и </w:t>
      </w:r>
      <w:hyperlink r:id="rId7" w:anchor="block_3461219" w:tgtFrame="_blank" w:history="1">
        <w:proofErr w:type="spellStart"/>
        <w:r>
          <w:rPr>
            <w:rStyle w:val="a4"/>
          </w:rPr>
          <w:t>пп</w:t>
        </w:r>
        <w:proofErr w:type="spellEnd"/>
        <w:r>
          <w:rPr>
            <w:rStyle w:val="a4"/>
          </w:rPr>
          <w:t>. 19 п. 3 ст. 346.12 НК РФ</w:t>
        </w:r>
      </w:hyperlink>
      <w:r>
        <w:t xml:space="preserve">. </w:t>
      </w:r>
    </w:p>
    <w:p w:rsidR="00B05FCD" w:rsidRDefault="00B05FCD" w:rsidP="00B05FCD">
      <w:pPr>
        <w:pStyle w:val="a3"/>
      </w:pPr>
      <w:r>
        <w:t xml:space="preserve">При этом может сложиться ситуация, когда хозяйствующий субъект выразил желание использовать УСН, уже фактически </w:t>
      </w:r>
      <w:proofErr w:type="gramStart"/>
      <w:r>
        <w:t>его</w:t>
      </w:r>
      <w:proofErr w:type="gramEnd"/>
      <w:r>
        <w:t xml:space="preserve"> применяя: сдавая налоговую отчетность, а также уплачивая авансовые и налоговые платежи. Если в этом случае налоговый орган своевременно не уведомил ИП о необходимости применения общей системы налогообложения, то не может ссылаться, что не получил от него уведомление о переходе на УСН или получил его с нарушением срока. Верховный </w:t>
      </w:r>
      <w:proofErr w:type="spellStart"/>
      <w:proofErr w:type="gramStart"/>
      <w:r>
        <w:t>C</w:t>
      </w:r>
      <w:proofErr w:type="gramEnd"/>
      <w:r>
        <w:t>уд</w:t>
      </w:r>
      <w:proofErr w:type="spellEnd"/>
      <w:r>
        <w:t xml:space="preserve"> РФ </w:t>
      </w:r>
      <w:hyperlink r:id="rId8" w:tgtFrame="_blank" w:history="1">
        <w:r>
          <w:rPr>
            <w:rStyle w:val="a4"/>
          </w:rPr>
          <w:t>подчеркнул</w:t>
        </w:r>
      </w:hyperlink>
      <w:r>
        <w:t xml:space="preserve">, что в такой ситуации положения </w:t>
      </w:r>
      <w:proofErr w:type="spellStart"/>
      <w:r>
        <w:t>пп</w:t>
      </w:r>
      <w:proofErr w:type="spellEnd"/>
      <w:r>
        <w:t xml:space="preserve">. 19 п. 3 ст. 346.12 НК РФ не могут быть применены в качестве основания для перевода налогоплательщика на общую систему налогообложения. </w:t>
      </w:r>
    </w:p>
    <w:p w:rsidR="00B05FCD" w:rsidRDefault="00B05FCD" w:rsidP="00B05FCD">
      <w:pPr>
        <w:pStyle w:val="1"/>
      </w:pPr>
      <w:r>
        <w:t xml:space="preserve">В России продолжается Декларационная кампания 2021 года </w:t>
      </w:r>
    </w:p>
    <w:p w:rsidR="00B05FCD" w:rsidRDefault="00B05FCD" w:rsidP="00B05FCD">
      <w:pPr>
        <w:pStyle w:val="a3"/>
      </w:pPr>
      <w:r>
        <w:t xml:space="preserve">До 30 апреля 2021 года необходимо представить декларацию о доходах, полученных в 2020 году. Сделать это можно в налоговой инспекции по месту своего учета или в многофункциональном центре предоставления государственных и муниципальных услуг. Заполнить декларацию также можно онлайн в </w:t>
      </w:r>
      <w:hyperlink r:id="rId9" w:tgtFrame="_blank" w:history="1">
        <w:r>
          <w:rPr>
            <w:rStyle w:val="a4"/>
          </w:rPr>
          <w:t>Личном кабинете налогоплательщика для физических лиц</w:t>
        </w:r>
      </w:hyperlink>
      <w:r>
        <w:t xml:space="preserve">, где большая часть данных уже </w:t>
      </w:r>
      <w:proofErr w:type="spellStart"/>
      <w:r>
        <w:t>предзаполнена</w:t>
      </w:r>
      <w:proofErr w:type="spellEnd"/>
      <w:r>
        <w:t>, или использовать программу «</w:t>
      </w:r>
      <w:hyperlink r:id="rId10" w:tgtFrame="_blank" w:history="1">
        <w:r>
          <w:rPr>
            <w:rStyle w:val="a4"/>
          </w:rPr>
          <w:t>Декларация</w:t>
        </w:r>
      </w:hyperlink>
      <w:r>
        <w:t xml:space="preserve">», которая автоматически формирует нужные листы формы 3-НДФЛ. </w:t>
      </w:r>
    </w:p>
    <w:p w:rsidR="00B05FCD" w:rsidRDefault="00B05FCD" w:rsidP="00B05FCD">
      <w:pPr>
        <w:pStyle w:val="a3"/>
      </w:pPr>
      <w:proofErr w:type="gramStart"/>
      <w:r>
        <w:t>Отчитаться о доходах</w:t>
      </w:r>
      <w:proofErr w:type="gramEnd"/>
      <w:r>
        <w:t xml:space="preserve"> необходимо, если в 2020 году налогоплательщик, к примеру, продал недвижимость, которая была в собственности меньше минимального срока владения, получил дорогие подарки не от близких родственников, выиграл небольшую сумму в лотерею, сдавал имущество в аренду или получал доход от зарубежных источников. </w:t>
      </w:r>
    </w:p>
    <w:p w:rsidR="00B05FCD" w:rsidRDefault="00B05FCD" w:rsidP="00B05FCD">
      <w:pPr>
        <w:pStyle w:val="a3"/>
      </w:pPr>
      <w:r>
        <w:t xml:space="preserve">Сдать декларацию также должны индивидуальные предприниматели, нотариусы, занимающиеся частной практикой, адвокаты, учредившие адвокатские кабинеты и другие лица. </w:t>
      </w:r>
    </w:p>
    <w:p w:rsidR="00B05FCD" w:rsidRDefault="00B05FCD" w:rsidP="00B05FCD">
      <w:pPr>
        <w:pStyle w:val="a3"/>
      </w:pPr>
      <w:r>
        <w:t xml:space="preserve">Уплатить НДФЛ, </w:t>
      </w:r>
      <w:proofErr w:type="gramStart"/>
      <w:r>
        <w:t>исчисленный</w:t>
      </w:r>
      <w:proofErr w:type="gramEnd"/>
      <w:r>
        <w:t xml:space="preserve"> в декларации, необходимо до 15 июля 2021 года. Подать декларацию также необходимо, если при выплате дохода налоговый агент не удержал НДФЛ и не сообщил в налоговый орган об этом. Если же налоговый агент выполнил эту обязанность, то налоговый орган направит налогоплательщику уведомление, на основании которого необходимо уплатить НДФЛ не позднее 1 декабря 2021 года. </w:t>
      </w:r>
    </w:p>
    <w:p w:rsidR="00B05FCD" w:rsidRDefault="00B05FCD" w:rsidP="00B05FCD">
      <w:pPr>
        <w:pStyle w:val="a3"/>
      </w:pPr>
      <w:r>
        <w:t xml:space="preserve">За нарушение сроков подачи декларации и уплаты НДФЛ налогоплательщика могут привлечь к ответственности в виде штрафа и пени. Предельный срок подачи декларации 30 апреля 2021 года не распространяется на получение налоговых вычетов. В этом случае направить декларацию можно в любое время в течение года. </w:t>
      </w:r>
    </w:p>
    <w:p w:rsidR="00B05FCD" w:rsidRDefault="00B05FCD" w:rsidP="00B05FCD">
      <w:pPr>
        <w:pStyle w:val="a3"/>
      </w:pPr>
      <w:r>
        <w:lastRenderedPageBreak/>
        <w:t xml:space="preserve">В форму декларации 3-НДФЛ внесено заявление о возврате излишне уплаченного налога. В случае указания в декларации суммы НДФЛ, подлежащей возврату, налогоплательщик вправе представить данное заявление в составе декларации. </w:t>
      </w:r>
    </w:p>
    <w:p w:rsidR="00B05FCD" w:rsidRDefault="00B05FCD" w:rsidP="00B05FCD">
      <w:pPr>
        <w:pStyle w:val="1"/>
      </w:pPr>
      <w:r>
        <w:t>Усовершенствована процедура досудебного обжалования налоговых споров</w:t>
      </w:r>
    </w:p>
    <w:p w:rsidR="00B05FCD" w:rsidRPr="00B05FCD" w:rsidRDefault="00F1670E" w:rsidP="00B05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B05FCD" w:rsidRPr="00B05FCD">
        <w:rPr>
          <w:rFonts w:ascii="Times New Roman" w:eastAsia="Times New Roman" w:hAnsi="Times New Roman" w:cs="Times New Roman"/>
          <w:sz w:val="24"/>
          <w:szCs w:val="24"/>
        </w:rPr>
        <w:t xml:space="preserve">еперь до принятия решения по жалобе налоговый орган может приостановить ее рассмотрение по ходатайству лица, подавшего жалобу (апелляционную жалобу), полностью или в части представления дополнительных документов, но не более чем на шесть месяцев. Соответствующие изменения внесены в </w:t>
      </w:r>
      <w:hyperlink r:id="rId11" w:tgtFrame="_blank" w:history="1">
        <w:r w:rsidR="00B05FCD" w:rsidRPr="00B05F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статью 140 НК РФ</w:t>
        </w:r>
      </w:hyperlink>
      <w:r w:rsidR="00B05FCD" w:rsidRPr="00B05F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FCD" w:rsidRPr="00B05FCD" w:rsidRDefault="00B05FCD" w:rsidP="00B05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FCD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таких жалоб может быть также приостановлено по решению вышестоящего налогового органа, если жалобу невозможно рассмотреть, пока суд не разрешит другое дело в конституционном, гражданском, арбитражном, административном, уголовном судопроизводстве или пока не будет рассмотрено заявление о проведении </w:t>
      </w:r>
      <w:proofErr w:type="spellStart"/>
      <w:r w:rsidRPr="00B05FCD">
        <w:rPr>
          <w:rFonts w:ascii="Times New Roman" w:eastAsia="Times New Roman" w:hAnsi="Times New Roman" w:cs="Times New Roman"/>
          <w:sz w:val="24"/>
          <w:szCs w:val="24"/>
        </w:rPr>
        <w:t>взаимосогласительной</w:t>
      </w:r>
      <w:proofErr w:type="spellEnd"/>
      <w:r w:rsidRPr="00B05FCD">
        <w:rPr>
          <w:rFonts w:ascii="Times New Roman" w:eastAsia="Times New Roman" w:hAnsi="Times New Roman" w:cs="Times New Roman"/>
          <w:sz w:val="24"/>
          <w:szCs w:val="24"/>
        </w:rPr>
        <w:t xml:space="preserve"> процедуры в порядке, предусмотренном </w:t>
      </w:r>
      <w:hyperlink r:id="rId12" w:tgtFrame="_blank" w:history="1">
        <w:r w:rsidRPr="00B05F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главой 20.3 НК РФ</w:t>
        </w:r>
      </w:hyperlink>
      <w:r w:rsidRPr="00B05F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05FCD" w:rsidRPr="00B05FCD" w:rsidRDefault="00B05FCD" w:rsidP="00B05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FCD">
        <w:rPr>
          <w:rFonts w:ascii="Times New Roman" w:eastAsia="Times New Roman" w:hAnsi="Times New Roman" w:cs="Times New Roman"/>
          <w:sz w:val="24"/>
          <w:szCs w:val="24"/>
        </w:rPr>
        <w:t xml:space="preserve">Кроме того, появилось основание для прерывания срока рассмотрения жалобы и его исчисления заново. Так, если заявитель представит дополнительные документы, то сроки, установленные </w:t>
      </w:r>
      <w:proofErr w:type="spellStart"/>
      <w:r w:rsidRPr="00B05FCD">
        <w:rPr>
          <w:rFonts w:ascii="Times New Roman" w:eastAsia="Times New Roman" w:hAnsi="Times New Roman" w:cs="Times New Roman"/>
          <w:sz w:val="24"/>
          <w:szCs w:val="24"/>
        </w:rPr>
        <w:t>абз</w:t>
      </w:r>
      <w:proofErr w:type="spellEnd"/>
      <w:r w:rsidRPr="00B05FCD">
        <w:rPr>
          <w:rFonts w:ascii="Times New Roman" w:eastAsia="Times New Roman" w:hAnsi="Times New Roman" w:cs="Times New Roman"/>
          <w:sz w:val="24"/>
          <w:szCs w:val="24"/>
        </w:rPr>
        <w:t xml:space="preserve">. 1 и 2 п. 6 ст. 140 НК РФ, исчисляются с момента получения таких документов вышестоящим налоговым органом. </w:t>
      </w:r>
    </w:p>
    <w:p w:rsidR="00B05FCD" w:rsidRPr="00B05FCD" w:rsidRDefault="00B05FCD" w:rsidP="00B05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FCD">
        <w:rPr>
          <w:rFonts w:ascii="Times New Roman" w:eastAsia="Times New Roman" w:hAnsi="Times New Roman" w:cs="Times New Roman"/>
          <w:sz w:val="24"/>
          <w:szCs w:val="24"/>
        </w:rPr>
        <w:t xml:space="preserve">Налоговый орган также получил новые основания для оставления жалобы </w:t>
      </w:r>
      <w:hyperlink r:id="rId13" w:tgtFrame="_blank" w:history="1">
        <w:r w:rsidRPr="00B05F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без рассмотрения</w:t>
        </w:r>
      </w:hyperlink>
      <w:r w:rsidRPr="00B05FC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05FCD" w:rsidRPr="00B05FCD" w:rsidRDefault="00B05FCD" w:rsidP="00B05F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FCD">
        <w:rPr>
          <w:rFonts w:ascii="Times New Roman" w:eastAsia="Times New Roman" w:hAnsi="Times New Roman" w:cs="Times New Roman"/>
          <w:sz w:val="24"/>
          <w:szCs w:val="24"/>
        </w:rPr>
        <w:t xml:space="preserve">до принятия решения по ней налоговый спор о том же предмете и по тем же основаниям был разрешен судом; </w:t>
      </w:r>
    </w:p>
    <w:p w:rsidR="00B05FCD" w:rsidRPr="00B05FCD" w:rsidRDefault="00B05FCD" w:rsidP="00B05F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FCD">
        <w:rPr>
          <w:rFonts w:ascii="Times New Roman" w:eastAsia="Times New Roman" w:hAnsi="Times New Roman" w:cs="Times New Roman"/>
          <w:sz w:val="24"/>
          <w:szCs w:val="24"/>
        </w:rPr>
        <w:t xml:space="preserve">если организация, подавшая жалобу, исключена из ЕГРЮЛ по решению регистрирующего органа или ликвидирована; </w:t>
      </w:r>
    </w:p>
    <w:p w:rsidR="00B05FCD" w:rsidRPr="00B05FCD" w:rsidRDefault="00B05FCD" w:rsidP="00B05F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05FCD">
        <w:rPr>
          <w:rFonts w:ascii="Times New Roman" w:eastAsia="Times New Roman" w:hAnsi="Times New Roman" w:cs="Times New Roman"/>
          <w:sz w:val="24"/>
          <w:szCs w:val="24"/>
        </w:rPr>
        <w:t xml:space="preserve">в случае смерти или объявления умершим физического лица, подавшего жалобу. </w:t>
      </w:r>
      <w:proofErr w:type="gramEnd"/>
    </w:p>
    <w:p w:rsidR="00B05FCD" w:rsidRDefault="00B05FCD" w:rsidP="00B05FCD">
      <w:pPr>
        <w:pStyle w:val="1"/>
      </w:pPr>
      <w:r>
        <w:t xml:space="preserve">Наступает срок уплаты налога на имущество организаций </w:t>
      </w:r>
    </w:p>
    <w:p w:rsidR="00B05FCD" w:rsidRDefault="00B05FCD" w:rsidP="00B05FCD">
      <w:pPr>
        <w:pStyle w:val="a3"/>
      </w:pPr>
      <w:r>
        <w:t xml:space="preserve">Наступают сроки уплаты налога на имущество организаций за 2020 год, </w:t>
      </w:r>
      <w:hyperlink r:id="rId14" w:tgtFrame="_blank" w:history="1">
        <w:r>
          <w:rPr>
            <w:rStyle w:val="a4"/>
          </w:rPr>
          <w:t>установленные законами субъектов РФ</w:t>
        </w:r>
      </w:hyperlink>
      <w:r>
        <w:t xml:space="preserve">. </w:t>
      </w:r>
    </w:p>
    <w:p w:rsidR="00B05FCD" w:rsidRDefault="00B05FCD" w:rsidP="00B05FCD">
      <w:pPr>
        <w:pStyle w:val="a3"/>
      </w:pPr>
      <w:r>
        <w:t xml:space="preserve">В 55 регионах этот срок приходится на март. В частности, в 51 регионе (включая Москву и Санкт-Петербург) срок уплаты налога – не позднее 30 марта, в Республике Мордовия и Карачаево-Черкесской Республике – не позднее 28 марта, в Ярославской области – не позднее 25 марта. </w:t>
      </w:r>
    </w:p>
    <w:p w:rsidR="00B05FCD" w:rsidRDefault="00B05FCD" w:rsidP="00B05FCD">
      <w:pPr>
        <w:pStyle w:val="a3"/>
      </w:pPr>
      <w:r>
        <w:t xml:space="preserve">В остальных субъектах РФ этот срок приходится на апрель. Например, в Рязанской области – не позднее 1 апреля, в Республике Татарстан – не позднее 5 апреля, в </w:t>
      </w:r>
      <w:r>
        <w:lastRenderedPageBreak/>
        <w:t xml:space="preserve">Нижегородской области – не позднее 10 апреля, в Ставропольском крае – не позднее 15 апреля. </w:t>
      </w:r>
    </w:p>
    <w:p w:rsidR="00B05FCD" w:rsidRDefault="00B05FCD" w:rsidP="00B05FCD">
      <w:pPr>
        <w:pStyle w:val="a3"/>
      </w:pPr>
      <w:r>
        <w:t>С информацией о сроках уплаты налога в каждом регионе можно ознакомиться в сервисе «</w:t>
      </w:r>
      <w:hyperlink r:id="rId15" w:tgtFrame="_blank" w:history="1">
        <w:r>
          <w:rPr>
            <w:rStyle w:val="a4"/>
          </w:rPr>
          <w:t>Справочная информация о ставках и льготах по имущественным налогам</w:t>
        </w:r>
      </w:hyperlink>
      <w:r>
        <w:t xml:space="preserve">» на сайте ФНС России. </w:t>
      </w:r>
    </w:p>
    <w:p w:rsidR="00B05FCD" w:rsidRDefault="00B05FCD" w:rsidP="00B05FCD">
      <w:pPr>
        <w:pStyle w:val="a3"/>
      </w:pPr>
      <w:r>
        <w:t xml:space="preserve">В случае неуплаты налога организации начисляются пени, а налоговые органы принимают меры по принудительному взысканию недоимки. </w:t>
      </w:r>
    </w:p>
    <w:p w:rsidR="00B05FCD" w:rsidRDefault="00B05FCD" w:rsidP="00B05FCD">
      <w:pPr>
        <w:pStyle w:val="1"/>
      </w:pPr>
      <w:r>
        <w:t xml:space="preserve">Утверждена форма заявления о гибели или уничтожении транспортного средства для прекращения его налогообложения </w:t>
      </w:r>
    </w:p>
    <w:p w:rsidR="00B05FCD" w:rsidRDefault="00B05FCD" w:rsidP="00B05FCD">
      <w:pPr>
        <w:pStyle w:val="a3"/>
      </w:pPr>
      <w:r>
        <w:t xml:space="preserve">Вступила в силу форма </w:t>
      </w:r>
      <w:hyperlink r:id="rId16" w:tgtFrame="_blank" w:history="1">
        <w:r>
          <w:rPr>
            <w:rStyle w:val="a4"/>
          </w:rPr>
          <w:t>заявления</w:t>
        </w:r>
      </w:hyperlink>
      <w:r>
        <w:t xml:space="preserve"> о гибели или уничтожении транспортного средства, которая применяется для прекращения исчисления транспортного налога. </w:t>
      </w:r>
    </w:p>
    <w:p w:rsidR="00B05FCD" w:rsidRDefault="00B05FCD" w:rsidP="00B05FCD">
      <w:pPr>
        <w:pStyle w:val="a3"/>
      </w:pPr>
      <w:r>
        <w:t xml:space="preserve">Так, налогообложение прекратившего свое существование транспортного средства (в том числе в результате пожара, аварии, стихийного бедствия) </w:t>
      </w:r>
      <w:hyperlink r:id="rId17" w:anchor="block_36231" w:tgtFrame="_blank" w:history="1">
        <w:r>
          <w:rPr>
            <w:rStyle w:val="a4"/>
          </w:rPr>
          <w:t>прекращается</w:t>
        </w:r>
      </w:hyperlink>
      <w:r>
        <w:t xml:space="preserve"> с первого числа месяца его гибели или уничтожения на основании заявления, представленного налогоплательщиком в любой налоговый орган или через МФЦ. </w:t>
      </w:r>
    </w:p>
    <w:p w:rsidR="00B05FCD" w:rsidRDefault="00B05FCD" w:rsidP="00B05FCD">
      <w:pPr>
        <w:pStyle w:val="a3"/>
      </w:pPr>
      <w:r>
        <w:t xml:space="preserve">С заявлением он вправе подать подтверждающие документы. Если указанные документы в налоговом органе отсутствуют, а также не были представлены налогоплательщиком, то налоговый орган по информации из заявления самостоятельно запрашивает необходимые сведения у органов и иных лиц, располагающих ими. </w:t>
      </w:r>
    </w:p>
    <w:p w:rsidR="00B05FCD" w:rsidRDefault="00B05FCD" w:rsidP="00B05FCD">
      <w:pPr>
        <w:pStyle w:val="a3"/>
      </w:pPr>
      <w:r>
        <w:t xml:space="preserve">По результатам рассмотрения заявления о гибели или уничтожении транспортного средства налогоплательщику направляется </w:t>
      </w:r>
      <w:hyperlink r:id="rId18" w:tgtFrame="_blank" w:history="1">
        <w:r>
          <w:rPr>
            <w:rStyle w:val="a4"/>
          </w:rPr>
          <w:t>уведомление</w:t>
        </w:r>
      </w:hyperlink>
      <w:r>
        <w:t xml:space="preserve"> о прекращении исчисления налога либо </w:t>
      </w:r>
      <w:hyperlink r:id="rId19" w:tgtFrame="_blank" w:history="1">
        <w:r>
          <w:rPr>
            <w:rStyle w:val="a4"/>
          </w:rPr>
          <w:t>сообщение</w:t>
        </w:r>
      </w:hyperlink>
      <w:r>
        <w:t xml:space="preserve"> об отсутствии основания для прекращения исчисления налога. </w:t>
      </w:r>
    </w:p>
    <w:p w:rsidR="00B05FCD" w:rsidRDefault="00B05FCD" w:rsidP="00B05FCD">
      <w:pPr>
        <w:pStyle w:val="a3"/>
      </w:pPr>
      <w:r>
        <w:t xml:space="preserve">Указанный порядок применяется независимо от даты снятия транспортного средства с регистрационного учета в уполномоченных органах: в подразделениях ГИБДД МВД России, МЧС России, </w:t>
      </w:r>
      <w:proofErr w:type="spellStart"/>
      <w:r>
        <w:t>Росморречфлота</w:t>
      </w:r>
      <w:proofErr w:type="spellEnd"/>
      <w:r>
        <w:t xml:space="preserve">, </w:t>
      </w:r>
      <w:proofErr w:type="spellStart"/>
      <w:r>
        <w:t>Росавиации</w:t>
      </w:r>
      <w:proofErr w:type="spellEnd"/>
      <w:r>
        <w:t xml:space="preserve">, инспекциях </w:t>
      </w:r>
      <w:proofErr w:type="spellStart"/>
      <w:r>
        <w:t>гостехнадзора</w:t>
      </w:r>
      <w:proofErr w:type="spellEnd"/>
      <w:r>
        <w:t xml:space="preserve"> субъектов РФ. </w:t>
      </w:r>
    </w:p>
    <w:p w:rsidR="00B05FCD" w:rsidRDefault="00B05FCD" w:rsidP="00B05FCD">
      <w:pPr>
        <w:pStyle w:val="1"/>
      </w:pPr>
      <w:r>
        <w:t xml:space="preserve">В России зарегистрировались два миллиона </w:t>
      </w:r>
      <w:proofErr w:type="spellStart"/>
      <w:r>
        <w:t>самозанятых</w:t>
      </w:r>
      <w:proofErr w:type="spellEnd"/>
      <w:r>
        <w:t xml:space="preserve"> </w:t>
      </w:r>
    </w:p>
    <w:p w:rsidR="00B05FCD" w:rsidRDefault="00B05FCD" w:rsidP="00B05FCD">
      <w:pPr>
        <w:pStyle w:val="a3"/>
      </w:pPr>
      <w:r>
        <w:t xml:space="preserve">ФНС России зарегистрировала два миллиона </w:t>
      </w:r>
      <w:proofErr w:type="spellStart"/>
      <w:r>
        <w:t>самозанятых</w:t>
      </w:r>
      <w:proofErr w:type="spellEnd"/>
      <w:r>
        <w:t xml:space="preserve">. Ежедневно к проекту присоединяются более 5 тысяч человек. </w:t>
      </w:r>
    </w:p>
    <w:p w:rsidR="00B05FCD" w:rsidRDefault="00B05FCD" w:rsidP="00B05FCD">
      <w:pPr>
        <w:pStyle w:val="a3"/>
      </w:pPr>
      <w:r>
        <w:t xml:space="preserve">За время </w:t>
      </w:r>
      <w:hyperlink r:id="rId20" w:tgtFrame="_blank" w:history="1">
        <w:r>
          <w:rPr>
            <w:rStyle w:val="a4"/>
          </w:rPr>
          <w:t>эксперимента</w:t>
        </w:r>
      </w:hyperlink>
      <w:r>
        <w:t xml:space="preserve"> с начала 2019 года </w:t>
      </w:r>
      <w:proofErr w:type="spellStart"/>
      <w:r>
        <w:t>самозанятые</w:t>
      </w:r>
      <w:proofErr w:type="spellEnd"/>
      <w:r>
        <w:t xml:space="preserve"> зарегистрировали доходы на сумму 327 </w:t>
      </w:r>
      <w:proofErr w:type="gramStart"/>
      <w:r>
        <w:t>млрд</w:t>
      </w:r>
      <w:proofErr w:type="gramEnd"/>
      <w:r>
        <w:t xml:space="preserve"> рублей и уплатили налоги на 8 млрд рублей. Ежедневно </w:t>
      </w:r>
      <w:proofErr w:type="spellStart"/>
      <w:r>
        <w:t>самозанятые</w:t>
      </w:r>
      <w:proofErr w:type="spellEnd"/>
      <w:r>
        <w:t xml:space="preserve"> зарабатывают более 1 </w:t>
      </w:r>
      <w:proofErr w:type="gramStart"/>
      <w:r>
        <w:t>млрд</w:t>
      </w:r>
      <w:proofErr w:type="gramEnd"/>
      <w:r>
        <w:t xml:space="preserve"> рублей. При этом у 85% зарегистрированных ранее не было официальных доходов от предпринимательской деятельности, а у 40% вообще не было официальных доходов за год до постановки на учет. </w:t>
      </w:r>
    </w:p>
    <w:p w:rsidR="00B05FCD" w:rsidRDefault="00B05FCD" w:rsidP="00B05FCD">
      <w:pPr>
        <w:pStyle w:val="a3"/>
      </w:pPr>
      <w:r>
        <w:lastRenderedPageBreak/>
        <w:t xml:space="preserve">Основная </w:t>
      </w:r>
      <w:proofErr w:type="gramStart"/>
      <w:r>
        <w:t>часть участников проекта входит в</w:t>
      </w:r>
      <w:proofErr w:type="gramEnd"/>
      <w:r>
        <w:t xml:space="preserve"> возрастную группу 30-40 лет, при этом в качестве </w:t>
      </w:r>
      <w:proofErr w:type="spellStart"/>
      <w:r>
        <w:t>самозанятых</w:t>
      </w:r>
      <w:proofErr w:type="spellEnd"/>
      <w:r>
        <w:t xml:space="preserve"> зарегистрировано 25 тысяч несовершеннолетних. В топ самых «молодых» субъектов Российской федерации попали: Санкт-Петербург, Омская, Саратовская, Воронежская, Тюменская области. Средний возраст </w:t>
      </w:r>
      <w:proofErr w:type="spellStart"/>
      <w:r>
        <w:t>самозанятых</w:t>
      </w:r>
      <w:proofErr w:type="spellEnd"/>
      <w:r>
        <w:t xml:space="preserve"> в этих регионах - 33 года. </w:t>
      </w:r>
    </w:p>
    <w:p w:rsidR="00B05FCD" w:rsidRDefault="00B05FCD" w:rsidP="00B05FCD">
      <w:pPr>
        <w:pStyle w:val="a3"/>
      </w:pPr>
      <w:r>
        <w:t xml:space="preserve">Основные виды деятельности </w:t>
      </w:r>
      <w:proofErr w:type="spellStart"/>
      <w:r>
        <w:t>самозанятых</w:t>
      </w:r>
      <w:proofErr w:type="spellEnd"/>
      <w:r>
        <w:t xml:space="preserve">: такси, строительные и маркетинговые услуги, консультирование, сдача в аренду квартир. Молодежь (до 30 лет), в основном, работает в сфере маркетинга и рекламы, а также предоставляет услугу доставки. </w:t>
      </w:r>
      <w:proofErr w:type="spellStart"/>
      <w:r>
        <w:t>Самозанятые</w:t>
      </w:r>
      <w:proofErr w:type="spellEnd"/>
      <w:r>
        <w:t xml:space="preserve"> в возрасте от 40 лет сдают в аренду жилье, занимаются консультированием и репетиторством. </w:t>
      </w:r>
    </w:p>
    <w:p w:rsidR="00B05FCD" w:rsidRDefault="00B05FCD" w:rsidP="00B05FCD">
      <w:pPr>
        <w:pStyle w:val="a3"/>
      </w:pPr>
      <w:r>
        <w:t xml:space="preserve">Среди всех </w:t>
      </w:r>
      <w:proofErr w:type="spellStart"/>
      <w:r>
        <w:t>самозанятых</w:t>
      </w:r>
      <w:proofErr w:type="spellEnd"/>
      <w:r>
        <w:t xml:space="preserve"> 60% - мужчины, 40% - женщины. </w:t>
      </w:r>
      <w:proofErr w:type="gramStart"/>
      <w:r>
        <w:t>Топ «женских» профессий: мастер по маникюру, косметолог, парикмахер, логопед и няня.</w:t>
      </w:r>
      <w:proofErr w:type="gramEnd"/>
      <w:r>
        <w:t xml:space="preserve"> Топ «мужских» профессий: сантехник, мастер по ремонту и обслуживанию автомобилей, грузчик, таксист и электрик. </w:t>
      </w:r>
    </w:p>
    <w:p w:rsidR="00B05FCD" w:rsidRDefault="00B05FCD" w:rsidP="00B05FCD">
      <w:pPr>
        <w:pStyle w:val="a3"/>
      </w:pPr>
      <w:r>
        <w:t xml:space="preserve">Примечательно, что около 30% </w:t>
      </w:r>
      <w:proofErr w:type="spellStart"/>
      <w:r>
        <w:t>самозанятых</w:t>
      </w:r>
      <w:proofErr w:type="spellEnd"/>
      <w:r>
        <w:t xml:space="preserve"> ведут деятельность вне региона своей прописки. Большинство приезжают на заработки в Москву, Московскую область, Санкт-Петербург, Краснодарский край и Татарстан. </w:t>
      </w:r>
    </w:p>
    <w:p w:rsidR="00B05FCD" w:rsidRDefault="00B05FCD" w:rsidP="00B05FCD">
      <w:pPr>
        <w:pStyle w:val="a3"/>
      </w:pPr>
      <w:r>
        <w:t xml:space="preserve">Для профилактики использования </w:t>
      </w:r>
      <w:hyperlink r:id="rId21" w:tgtFrame="_blank" w:history="1">
        <w:r>
          <w:rPr>
            <w:rStyle w:val="a4"/>
          </w:rPr>
          <w:t xml:space="preserve">налогового режима для </w:t>
        </w:r>
        <w:proofErr w:type="spellStart"/>
        <w:r>
          <w:rPr>
            <w:rStyle w:val="a4"/>
          </w:rPr>
          <w:t>самозанятых</w:t>
        </w:r>
        <w:proofErr w:type="spellEnd"/>
      </w:hyperlink>
      <w:r>
        <w:t xml:space="preserve"> в различных схемах по налоговой оптимизации ФНС России разработала специальную </w:t>
      </w:r>
      <w:proofErr w:type="spellStart"/>
      <w:r>
        <w:t>скоринговую</w:t>
      </w:r>
      <w:proofErr w:type="spellEnd"/>
      <w:r>
        <w:t xml:space="preserve"> систему, которая в режиме реального времени определяет организации с признаками подмены трудовых отношений отношениями с </w:t>
      </w:r>
      <w:proofErr w:type="spellStart"/>
      <w:r>
        <w:t>самозанятыми</w:t>
      </w:r>
      <w:proofErr w:type="spellEnd"/>
      <w:r>
        <w:t xml:space="preserve">. Анализируются периодичность и источники выплат, взаимосвязь </w:t>
      </w:r>
      <w:proofErr w:type="spellStart"/>
      <w:r>
        <w:t>самозанятых</w:t>
      </w:r>
      <w:proofErr w:type="spellEnd"/>
      <w:r>
        <w:t xml:space="preserve">, их клиентов и бывших работодателей - по результатам этого анализа организации, имеющие признаки нарушений, попадают в группу риска. </w:t>
      </w:r>
    </w:p>
    <w:p w:rsidR="00B05FCD" w:rsidRDefault="00B05FCD" w:rsidP="00B05FCD">
      <w:pPr>
        <w:pStyle w:val="a3"/>
      </w:pPr>
      <w:r>
        <w:t xml:space="preserve">За 2020 год услугами </w:t>
      </w:r>
      <w:proofErr w:type="spellStart"/>
      <w:r>
        <w:t>самозанятых</w:t>
      </w:r>
      <w:proofErr w:type="spellEnd"/>
      <w:r>
        <w:t xml:space="preserve"> воспользовалось более 258 тыс. организаций. При этом в группу риска попало 1313 организаций. После запроса пояснений от налоговых органов в этой группе осталось 423 организации. В 73 из них есть признаки перевода сотрудников в </w:t>
      </w:r>
      <w:proofErr w:type="spellStart"/>
      <w:r>
        <w:t>самозанятые</w:t>
      </w:r>
      <w:proofErr w:type="spellEnd"/>
      <w:r>
        <w:t xml:space="preserve"> через аффилированные компании. Таким образом, случаи перевода действующих или бывших работников в </w:t>
      </w:r>
      <w:proofErr w:type="spellStart"/>
      <w:r>
        <w:t>самозанятые</w:t>
      </w:r>
      <w:proofErr w:type="spellEnd"/>
      <w:r>
        <w:t xml:space="preserve"> единичны. Основная часть нарушений связана с попыткой легализации «конвертной» схемы оплаты труда. </w:t>
      </w:r>
    </w:p>
    <w:p w:rsidR="00B05FCD" w:rsidRDefault="00B05FCD" w:rsidP="00B05FCD">
      <w:pPr>
        <w:pStyle w:val="a3"/>
      </w:pPr>
      <w:r>
        <w:t xml:space="preserve">Налоговые органы сначала информируют организации о выявленных признаках нарушений. Уже на этом этапе около 10% организаций признают нарушения и добровольно уточняют свои налоговые обязательства. Многие организации в последующем отказываются от незаконных схем. В отношении попавших в группу риска организаций, которые приняли решение не уточнять свои обязательства после получения информационных писем, налоговые органы проводят контрольные мероприятия, в том числе совместно с трудовой инспекцией. </w:t>
      </w:r>
    </w:p>
    <w:p w:rsidR="009C120B" w:rsidRDefault="009C120B"/>
    <w:sectPr w:rsidR="009C120B" w:rsidSect="009C1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90339"/>
    <w:multiLevelType w:val="multilevel"/>
    <w:tmpl w:val="7E96B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CD"/>
    <w:rsid w:val="009C120B"/>
    <w:rsid w:val="00B05FCD"/>
    <w:rsid w:val="00DA6F30"/>
    <w:rsid w:val="00F1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5F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F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5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05F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5F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F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5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05F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rf.ru/stor_pdf_ec.php?id=1783418" TargetMode="External"/><Relationship Id="rId13" Type="http://schemas.openxmlformats.org/officeDocument/2006/relationships/hyperlink" Target="http://nalog.garant.ru/fns/nk/1e6e33e2b99e0a0551dd4015c777c4c9/" TargetMode="External"/><Relationship Id="rId18" Type="http://schemas.openxmlformats.org/officeDocument/2006/relationships/hyperlink" Target="https://www.nalog.ru/rn77/about_fts/docs/10714172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npd.nalog.ru/" TargetMode="External"/><Relationship Id="rId7" Type="http://schemas.openxmlformats.org/officeDocument/2006/relationships/hyperlink" Target="http://nalog.garant.ru/fns/nk/2a0ac5f1f17362764203634aa5f60c5a/" TargetMode="External"/><Relationship Id="rId12" Type="http://schemas.openxmlformats.org/officeDocument/2006/relationships/hyperlink" Target="http://nalog.garant.ru/fns/nk/e97f3d41fcca51446e6994a24536d2a1/" TargetMode="External"/><Relationship Id="rId17" Type="http://schemas.openxmlformats.org/officeDocument/2006/relationships/hyperlink" Target="http://nalog.garant.ru/fns/nk/5cd0adf6ff1d07dffd68070d0f2219b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alog.ru/rn77/about_fts/docs/10714172/" TargetMode="External"/><Relationship Id="rId20" Type="http://schemas.openxmlformats.org/officeDocument/2006/relationships/hyperlink" Target="https://www.nalog.ru/rn77/news/activities_fts/825496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alog.garant.ru/fns/nk/2a0ac5f1f17362764203634aa5f60c5a/" TargetMode="External"/><Relationship Id="rId11" Type="http://schemas.openxmlformats.org/officeDocument/2006/relationships/hyperlink" Target="http://base.garant.ru/10900200/39508de81c29ab8e2f1ebbd63918d25c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alog.ru/rn77/service/tax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nalog.ru/rn77/program/5961249/" TargetMode="External"/><Relationship Id="rId19" Type="http://schemas.openxmlformats.org/officeDocument/2006/relationships/hyperlink" Target="https://www.nalog.ru/rn77/about_fts/docs/1071417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fl2.nalog.ru/lkfl/login" TargetMode="External"/><Relationship Id="rId14" Type="http://schemas.openxmlformats.org/officeDocument/2006/relationships/hyperlink" Target="http://nalog.garant.ru/fns/nk/b250503abddc1c75140b02663ac47a5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Сафина Инга Александровна</cp:lastModifiedBy>
  <cp:revision>3</cp:revision>
  <dcterms:created xsi:type="dcterms:W3CDTF">2021-03-30T01:03:00Z</dcterms:created>
  <dcterms:modified xsi:type="dcterms:W3CDTF">2021-03-30T01:03:00Z</dcterms:modified>
</cp:coreProperties>
</file>