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СОВЕТА СЕЛЬСКОГО ПОСЕЛЕНИЯ «БУРИНСКОЕ» </w:t>
      </w: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РЕШЕНИЕ   </w:t>
      </w: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« 29  »  декабря 2017г                                                                 № 30</w:t>
      </w:r>
    </w:p>
    <w:p w:rsidR="00704826" w:rsidRDefault="00704826" w:rsidP="00704826">
      <w:pPr>
        <w:rPr>
          <w:color w:val="000000"/>
        </w:rPr>
      </w:pP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Бура</w:t>
      </w: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«О бюджете сельского поселения «Буринское» на 2018 год»</w:t>
      </w: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1. ОБЩИЕ ПОЛОЖЕНИЯ</w:t>
      </w:r>
    </w:p>
    <w:p w:rsidR="00704826" w:rsidRDefault="00704826" w:rsidP="00704826">
      <w:pPr>
        <w:jc w:val="center"/>
        <w:rPr>
          <w:b/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1. Основные характеристики бюджета сельского поселения «Буринское» муниципального района «Калганский район» на 2018год.</w:t>
      </w:r>
    </w:p>
    <w:p w:rsidR="00704826" w:rsidRDefault="00704826" w:rsidP="00704826">
      <w:pPr>
        <w:ind w:firstLine="540"/>
        <w:jc w:val="both"/>
        <w:rPr>
          <w:b/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характеристики бюджета сельского поселения «Буринское» муниципального района «Калганский район»: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общий объем доходов в сумме    -  2 792 500 рублей;</w:t>
      </w:r>
    </w:p>
    <w:p w:rsidR="00704826" w:rsidRDefault="00704826" w:rsidP="00704826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общий объем расходов в сумме   -  2 792 500 рублей.</w:t>
      </w: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shd w:val="clear" w:color="auto" w:fill="FFFFFF"/>
        <w:spacing w:line="317" w:lineRule="exact"/>
        <w:ind w:firstLine="709"/>
        <w:jc w:val="both"/>
        <w:rPr>
          <w:b/>
          <w:sz w:val="28"/>
          <w:szCs w:val="28"/>
          <w:shd w:val="clear" w:color="auto" w:fill="FFFF00"/>
        </w:rPr>
      </w:pPr>
    </w:p>
    <w:p w:rsidR="00704826" w:rsidRDefault="00704826" w:rsidP="00704826">
      <w:pPr>
        <w:shd w:val="clear" w:color="auto" w:fill="FFFFFF"/>
        <w:spacing w:line="317" w:lineRule="exact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b/>
          <w:i/>
          <w:sz w:val="28"/>
          <w:szCs w:val="28"/>
        </w:rPr>
        <w:t xml:space="preserve"> Главные администраторы доходов бюджета сельского поселения и главные администраторы </w:t>
      </w:r>
      <w:proofErr w:type="gramStart"/>
      <w:r>
        <w:rPr>
          <w:b/>
          <w:i/>
          <w:sz w:val="28"/>
          <w:szCs w:val="28"/>
        </w:rPr>
        <w:t>источников финансирования дефицита  бюджета сельского поселения</w:t>
      </w:r>
      <w:proofErr w:type="gramEnd"/>
      <w:r>
        <w:rPr>
          <w:b/>
          <w:i/>
          <w:sz w:val="28"/>
          <w:szCs w:val="28"/>
        </w:rPr>
        <w:t xml:space="preserve"> на 2018 год.</w:t>
      </w:r>
    </w:p>
    <w:p w:rsidR="00704826" w:rsidRDefault="00704826" w:rsidP="00704826">
      <w:pPr>
        <w:shd w:val="clear" w:color="auto" w:fill="FFFFFF"/>
        <w:spacing w:line="317" w:lineRule="exact"/>
        <w:ind w:left="709"/>
        <w:jc w:val="both"/>
        <w:rPr>
          <w:i/>
          <w:sz w:val="28"/>
          <w:szCs w:val="28"/>
        </w:rPr>
      </w:pPr>
    </w:p>
    <w:p w:rsidR="00704826" w:rsidRDefault="00704826" w:rsidP="00704826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spacing w:line="317" w:lineRule="exact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доходов и закрепить за ними виды (подвиды) доходов бюджета сельского поселения «Буринское» - исполнительных органов государственной власти Российской Федерации согласно </w:t>
      </w:r>
      <w:r>
        <w:rPr>
          <w:i/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Решению.</w:t>
      </w:r>
    </w:p>
    <w:p w:rsidR="00704826" w:rsidRDefault="00704826" w:rsidP="00704826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spacing w:line="317" w:lineRule="exact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 коды главных администраторов доходов и закрепить за ними виды (подвиды) доходов бюджета сельского поселения «Буринское» - органов местного самоуправления сельского поселения "Буринское" на 2018 год, согласно </w:t>
      </w:r>
      <w:r>
        <w:rPr>
          <w:i/>
          <w:sz w:val="28"/>
          <w:szCs w:val="28"/>
        </w:rPr>
        <w:t>приложению № 2</w:t>
      </w:r>
      <w:r>
        <w:rPr>
          <w:sz w:val="28"/>
          <w:szCs w:val="28"/>
        </w:rPr>
        <w:t xml:space="preserve"> к настоящему Решению.</w:t>
      </w:r>
    </w:p>
    <w:p w:rsidR="00704826" w:rsidRDefault="00704826" w:rsidP="00704826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spacing w:line="317" w:lineRule="exact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 источников финансирования местного дефицита бюджета - органов местного самоуправления сельского поселения «Буринское» согласно </w:t>
      </w:r>
      <w:r>
        <w:rPr>
          <w:i/>
          <w:sz w:val="28"/>
          <w:szCs w:val="28"/>
        </w:rPr>
        <w:t>приложению № 3</w:t>
      </w:r>
      <w:r>
        <w:rPr>
          <w:sz w:val="28"/>
          <w:szCs w:val="28"/>
        </w:rPr>
        <w:t xml:space="preserve"> к настоящему Решению.</w:t>
      </w:r>
    </w:p>
    <w:p w:rsidR="00704826" w:rsidRDefault="00704826" w:rsidP="00704826">
      <w:pPr>
        <w:pStyle w:val="ConsPlusNormal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органа исполнительной власти местного самоуправления вправе в случае изменения состава и (или) функций главных администраторов доходов бюджета сельского поселения «Буринское», - органов местного самоуправления или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уточнять закрепленные за ними источники доходов бюджета сельского поселения, предусмотренные </w:t>
      </w:r>
      <w:hyperlink w:anchor="P3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приложениями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04826" w:rsidRDefault="00704826" w:rsidP="00704826">
      <w:pPr>
        <w:pStyle w:val="ConsPlusNormal"/>
        <w:ind w:left="540" w:firstLine="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Источники финансирования дефицита бюджета сельского поселения на 2018 год</w:t>
      </w:r>
    </w:p>
    <w:p w:rsidR="00704826" w:rsidRDefault="00704826" w:rsidP="00704826">
      <w:pPr>
        <w:pStyle w:val="ConsPlusNormal"/>
        <w:ind w:left="540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9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источники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сельского поселения согласно приложению N 5 к настоящему решению.</w:t>
      </w:r>
    </w:p>
    <w:p w:rsidR="00704826" w:rsidRDefault="00704826" w:rsidP="00704826">
      <w:pPr>
        <w:ind w:firstLine="540"/>
        <w:rPr>
          <w:b/>
          <w:i/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center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ind w:firstLine="54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Глава 2. ДОХОДЫ БЮДЖЕТА СЕЛЬСКОГО ПОСЕЛЕНИЯ «Буринское» МУНИЦИПАЛЬНОГО РАЙОНА «КАЛГАНСКИЙ РАЙОН»</w:t>
      </w:r>
    </w:p>
    <w:p w:rsidR="00704826" w:rsidRDefault="00704826" w:rsidP="00704826">
      <w:pPr>
        <w:ind w:firstLine="540"/>
        <w:rPr>
          <w:color w:val="000000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Статья 3. Собственные доходы сельского поселения </w:t>
      </w:r>
    </w:p>
    <w:p w:rsidR="00704826" w:rsidRDefault="00704826" w:rsidP="00704826">
      <w:pPr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 к настоящему решению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рилагается)</w:t>
      </w:r>
    </w:p>
    <w:p w:rsidR="00704826" w:rsidRDefault="00704826" w:rsidP="00704826">
      <w:pPr>
        <w:ind w:left="540"/>
        <w:jc w:val="both"/>
        <w:rPr>
          <w:b/>
          <w:i/>
          <w:color w:val="000000"/>
          <w:sz w:val="28"/>
          <w:szCs w:val="28"/>
        </w:rPr>
      </w:pPr>
    </w:p>
    <w:p w:rsidR="00704826" w:rsidRDefault="00704826" w:rsidP="00704826">
      <w:pPr>
        <w:ind w:left="5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4. Межбюджетные трансферты, получаемых из других бюджетов бюджетной системы в сумме  1 041 500 рублей.</w:t>
      </w:r>
    </w:p>
    <w:p w:rsidR="00704826" w:rsidRDefault="00704826" w:rsidP="0070482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704826" w:rsidRDefault="00704826" w:rsidP="00704826">
      <w:pPr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3. РАСХОДЫ БЮДЖЕТА СЕЛЬСКОГО ПОСЕЛЕНИЯ «Буринское» МУНИЦИПАЛЬНОГО РАЙОНА «КАЛГАНСКИЙ РАЙОН</w:t>
      </w:r>
      <w:r>
        <w:rPr>
          <w:color w:val="000000"/>
          <w:sz w:val="28"/>
          <w:szCs w:val="28"/>
        </w:rPr>
        <w:t>»</w:t>
      </w:r>
    </w:p>
    <w:p w:rsidR="00704826" w:rsidRDefault="00704826" w:rsidP="00704826">
      <w:pPr>
        <w:ind w:firstLine="540"/>
        <w:jc w:val="center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5. Распределение бюджетных ассигнований по расходам бюджета сельского поселения «Буринское» муниципального района «Калганский район» на 2017год.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распределение бюджетных ассигнований по разделам, подразделам, целевым статьям и видам расходов классификации расходов бюджета в сумме 1 041 500 рублей приложение № 6 к настоящему решению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рилагается)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Статья 6. Межбюджетные трансферты, предоставляемые из бюджета муниципального района «Калганский район» в 2018 году. 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предоставления дотации: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бюджетам поселений на выравнивание уровня бюджетной  обеспеченности в сумме 963 700 рублей.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предоставление субвенций, выделяемых из  краевого фонда компенсации:</w:t>
      </w:r>
    </w:p>
    <w:p w:rsidR="00704826" w:rsidRDefault="00704826" w:rsidP="00704826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1) бюджету сельского поселения «Буринское» на осуществление полномочий по первичному воинскому учету на территориях, где </w:t>
      </w:r>
      <w:r>
        <w:rPr>
          <w:color w:val="000000"/>
          <w:sz w:val="28"/>
          <w:szCs w:val="28"/>
        </w:rPr>
        <w:lastRenderedPageBreak/>
        <w:t>отсутствуют военные комиссариаты, в сумме 77 800 рублей.  Распределение данной  субвенции осуществляет Администрация Забайкальского края.</w:t>
      </w:r>
    </w:p>
    <w:p w:rsidR="00704826" w:rsidRDefault="00704826" w:rsidP="00704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Предельный объем муниципального долга  на 2018 год</w:t>
      </w:r>
    </w:p>
    <w:p w:rsidR="00704826" w:rsidRDefault="00704826" w:rsidP="0070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826" w:rsidRDefault="00704826" w:rsidP="00704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sz w:val="28"/>
          <w:szCs w:val="28"/>
        </w:rPr>
        <w:t>1. Утвердить предельный объем муниципального долга в размере, не превышающем 30 процентов от утвержденного общего годового объема доходов бюджета муниципального района без учета утвержденного объема безвозмездных поступлений.</w:t>
      </w:r>
    </w:p>
    <w:p w:rsidR="00704826" w:rsidRDefault="00704826" w:rsidP="00704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верхний предел муниципального внутреннего долга  на 1 января 2018 года в размере предельного объема муниципального долга сельского поселения «Буринское», установленного </w:t>
      </w:r>
      <w:hyperlink w:anchor="P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04826" w:rsidRDefault="00704826" w:rsidP="0070482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предельный объем расходов на обслуживание муниципального внутреннего долга сельского поселения «Буринское», в размере не более 3 процентов от общего объема расходов бюджета сельского поселения «Буринское»,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8. Особенности заключения и оплаты договоров (муниципальных контрактов) в 2018 году</w:t>
      </w:r>
      <w:r>
        <w:rPr>
          <w:color w:val="000000"/>
          <w:sz w:val="28"/>
          <w:szCs w:val="28"/>
        </w:rPr>
        <w:t>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Заключение и оплата муниципальными учреждениями и органами местного самоуправления муниципального района договоров (муниципальных контрактов), исполнение которых осуществляется за счет бюджетных ассигнований бюджета сельского поселения «Буринское» муниципального района «Калганский район»,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Не подлежат оплате обязательства муниципального района «Калганский район», принятые муниципальными бюджетными учреждениями и органами местного самоуправления, вытекающие из договоров (муниципальных контрактов), заключенных на сумму, превышающую установленный Центральным банков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Калганского</w:t>
      </w:r>
      <w:proofErr w:type="gramEnd"/>
      <w:r>
        <w:rPr>
          <w:color w:val="000000"/>
          <w:sz w:val="28"/>
          <w:szCs w:val="28"/>
        </w:rPr>
        <w:t xml:space="preserve"> района по итогам размещения заказов.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Статья 9. Особенности использования средств казенными и бюджетными учреждениями в 2018 года</w:t>
      </w:r>
    </w:p>
    <w:p w:rsidR="00704826" w:rsidRDefault="00704826" w:rsidP="00704826">
      <w:pPr>
        <w:pStyle w:val="ConsPlusNormal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826" w:rsidRDefault="00704826" w:rsidP="0070482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2017 года остатки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края бюджету муниципального района в форме субвенций, субсидий (за исключением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субсидий на предоставление молодым семьям социальных выплат на приобретение или строительство индивидуального жилого дома), иных межбюджетных трансфертов, имеющих целевое назначение, отраженные на счетах территориального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казначейства, подлежат возврату в бюджет края в течение первых 15 рабочих дней 2018 года.</w:t>
      </w:r>
    </w:p>
    <w:p w:rsidR="00704826" w:rsidRDefault="00704826" w:rsidP="00704826">
      <w:pPr>
        <w:pStyle w:val="ConsPlusNormal"/>
        <w:ind w:left="71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2. Безвозмездные поступления от физических и юридических лиц, имеющие целевое назначение, поступающие в бюджет района, направляются соответствующим распорядителям средств районного бюджета для последующего доведения муниципальным учреждениям в порядке, установленном бюджетным законодательством.</w:t>
      </w:r>
    </w:p>
    <w:p w:rsidR="00704826" w:rsidRDefault="00704826" w:rsidP="00704826">
      <w:pPr>
        <w:pStyle w:val="ConsPlusNormal"/>
        <w:ind w:left="1070"/>
        <w:jc w:val="both"/>
        <w:rPr>
          <w:b/>
        </w:rPr>
      </w:pPr>
    </w:p>
    <w:p w:rsidR="00704826" w:rsidRDefault="00704826" w:rsidP="00704826">
      <w:pPr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</w:t>
      </w:r>
      <w:proofErr w:type="gramStart"/>
      <w:r>
        <w:rPr>
          <w:color w:val="000000"/>
          <w:sz w:val="28"/>
          <w:szCs w:val="28"/>
        </w:rPr>
        <w:t>При создание автономного учреждения путем изменения типа бюджетного учреждения, являющегося получателем бюджетных средств, либо при принятии решения о предоставлении бюджетному учреждению субсидии в соответствии со статьей 78 Бюджетного кодекса Российской Федерации  остатки средств от оказание платных услуг,  безвозмездных поступлений от физических и юридических лиц, в том числе добровольных пожертвований, средств от иной приносящей доход деятельности и средств, поступивших во временное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распоряжение бюджетного учреждения, являющегося получателем бюджетных средств, зачисленные в доход бюджета или учтенные на соответствующих лицевых или учтенные на соответствующих лицевых счетах, открытых в территориальном органе Федерального казначейства данному бюджетному учреждению,  подлежат перечислению в установленном порядке на счета, на которых в соответствии с законодательством Российской Федерации учитываются средства автономных учреждений и бюджетных учреждений.  </w:t>
      </w:r>
      <w:proofErr w:type="gramEnd"/>
    </w:p>
    <w:p w:rsidR="00704826" w:rsidRDefault="00704826" w:rsidP="00704826">
      <w:pPr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  </w:t>
      </w:r>
      <w:proofErr w:type="gramStart"/>
      <w:r>
        <w:rPr>
          <w:color w:val="000000"/>
          <w:sz w:val="28"/>
          <w:szCs w:val="28"/>
        </w:rPr>
        <w:t xml:space="preserve">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бюджетного учреждение.       </w:t>
      </w:r>
      <w:proofErr w:type="gramEnd"/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4. ЗАКЛЮЧИТЕЛЬНЫЕ ПОЛОЖЕНИЯ</w:t>
      </w:r>
      <w:r>
        <w:rPr>
          <w:color w:val="000000"/>
          <w:sz w:val="28"/>
          <w:szCs w:val="28"/>
        </w:rPr>
        <w:t>.</w:t>
      </w:r>
    </w:p>
    <w:p w:rsidR="00704826" w:rsidRDefault="00704826" w:rsidP="00704826">
      <w:pPr>
        <w:ind w:firstLine="540"/>
        <w:jc w:val="center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10. Обеспечение выполнение требований бюджетного законодательства.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Администрация сельского поселения «Буринское» муниципального района «Калганский район» не вправе принимать решения,  приводящие к увеличению численности муниципальных служащих, работников учреждений бюджетной сферы, за исключением случаев принятия федеральных и областных законов о наделении дополнительными полномочиями.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Статья 11.  Вступление в силу настоящего решения</w:t>
      </w:r>
      <w:r>
        <w:rPr>
          <w:color w:val="000000"/>
          <w:sz w:val="28"/>
          <w:szCs w:val="28"/>
        </w:rPr>
        <w:t>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Нормативные правовые акты сельского поселения «Буринское» муниципального района «Калганский район» подлежат приведению в соответствие с настоящим решением.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</w:p>
    <w:p w:rsidR="00704826" w:rsidRDefault="00704826" w:rsidP="0070482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704826" w:rsidRDefault="00704826" w:rsidP="00704826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«Буринское»                                                                 И.Ю.Максимченко</w:t>
      </w: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ind w:firstLine="540"/>
        <w:jc w:val="both"/>
        <w:rPr>
          <w:color w:val="000000"/>
        </w:rPr>
      </w:pPr>
    </w:p>
    <w:p w:rsidR="00704826" w:rsidRDefault="00704826" w:rsidP="00704826">
      <w:pPr>
        <w:ind w:firstLine="540"/>
        <w:rPr>
          <w:b/>
          <w:color w:val="000000"/>
        </w:rPr>
      </w:pPr>
    </w:p>
    <w:p w:rsidR="00E91AC9" w:rsidRPr="00704826" w:rsidRDefault="00E91AC9">
      <w:pPr>
        <w:rPr>
          <w:sz w:val="28"/>
          <w:szCs w:val="28"/>
        </w:rPr>
      </w:pPr>
    </w:p>
    <w:sectPr w:rsidR="00E91AC9" w:rsidRPr="0070482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/>
        <w:i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0"/>
        </w:tabs>
        <w:ind w:left="140" w:hanging="99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826"/>
    <w:rsid w:val="00663F34"/>
    <w:rsid w:val="00704826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4826"/>
    <w:rPr>
      <w:color w:val="000080"/>
      <w:u w:val="single"/>
      <w:lang/>
    </w:rPr>
  </w:style>
  <w:style w:type="paragraph" w:customStyle="1" w:styleId="ConsPlusNormal">
    <w:name w:val="ConsPlusNormal"/>
    <w:rsid w:val="007048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7819</Characters>
  <Application>Microsoft Office Word</Application>
  <DocSecurity>0</DocSecurity>
  <Lines>65</Lines>
  <Paragraphs>18</Paragraphs>
  <ScaleCrop>false</ScaleCrop>
  <Company>Grizli777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2018-08-15T23:30:00Z</dcterms:created>
  <dcterms:modified xsi:type="dcterms:W3CDTF">2018-08-15T23:31:00Z</dcterms:modified>
</cp:coreProperties>
</file>