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«ЧИНГИЛЬТУЙСКОЕ»</w:t>
      </w: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 ноября 2018 года                                                                 №88</w:t>
      </w:r>
    </w:p>
    <w:p w:rsidR="000359F6" w:rsidRDefault="000359F6" w:rsidP="00035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p w:rsidR="000359F6" w:rsidRDefault="000359F6" w:rsidP="00035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бюджете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2019 год</w:t>
      </w:r>
    </w:p>
    <w:p w:rsidR="000359F6" w:rsidRPr="00181E9A" w:rsidRDefault="000359F6" w:rsidP="00035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9F6" w:rsidRPr="00181E9A" w:rsidRDefault="000359F6" w:rsidP="000359F6">
      <w:pPr>
        <w:ind w:firstLine="720"/>
        <w:jc w:val="both"/>
        <w:rPr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ст.45 Устава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0359F6" w:rsidRDefault="000359F6" w:rsidP="000359F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Принять и утвердить бюджет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на 201</w:t>
      </w:r>
      <w:r w:rsidRPr="00181E9A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0359F6" w:rsidRDefault="000359F6" w:rsidP="000359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1. ОБЩИЕ ПОЛОЖЕНИЯ</w:t>
      </w:r>
    </w:p>
    <w:p w:rsidR="000359F6" w:rsidRDefault="000359F6" w:rsidP="000359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1. Основные характеристики бюджета сельского поселения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 муниципального района «Калганский район» на 201</w:t>
      </w:r>
      <w:r w:rsidRPr="00181E9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«Калганский район»: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общий объем доходов в сумме    -  </w:t>
      </w:r>
      <w:r w:rsidR="00181E9A" w:rsidRPr="00181E9A">
        <w:rPr>
          <w:rFonts w:ascii="Times New Roman" w:hAnsi="Times New Roman" w:cs="Times New Roman"/>
          <w:color w:val="000000"/>
          <w:sz w:val="28"/>
          <w:szCs w:val="28"/>
        </w:rPr>
        <w:t>2189300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0359F6" w:rsidRDefault="000359F6" w:rsidP="000359F6">
      <w:pPr>
        <w:numPr>
          <w:ilvl w:val="0"/>
          <w:numId w:val="4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расходов в сумме   -  </w:t>
      </w:r>
      <w:r w:rsidR="00535C25">
        <w:rPr>
          <w:rFonts w:ascii="Times New Roman" w:hAnsi="Times New Roman" w:cs="Times New Roman"/>
          <w:color w:val="000000"/>
          <w:sz w:val="28"/>
          <w:szCs w:val="28"/>
        </w:rPr>
        <w:t>2189300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59F6" w:rsidRDefault="000359F6" w:rsidP="000359F6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2. Главные администраторы (администраторы) доходов бюджета сельского поселения и главные администраторы (администраторы) источников финансирования дефицита  бюджета сельского поселения на 201</w:t>
      </w:r>
      <w:r w:rsidRPr="00181E9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359F6" w:rsidRDefault="000359F6" w:rsidP="000359F6">
      <w:pPr>
        <w:shd w:val="clear" w:color="auto" w:fill="FFFFFF"/>
        <w:spacing w:line="317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59F6" w:rsidRDefault="000359F6" w:rsidP="000359F6">
      <w:pPr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317" w:lineRule="exact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(администраторов) доходов и закрепить за ними виды (подвиды)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исполнительных органов государственной власти Российской Федерации согласно приложению 1.</w:t>
      </w:r>
    </w:p>
    <w:p w:rsidR="000359F6" w:rsidRDefault="000359F6" w:rsidP="000359F6">
      <w:pPr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317" w:lineRule="exact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 коды главных администраторов (администраторов) доходов и закрепить за ними виды (подвиды)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органов местного самоуправления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на 201</w:t>
      </w:r>
      <w:r w:rsidRPr="00181E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 2.</w:t>
      </w:r>
    </w:p>
    <w:p w:rsidR="000359F6" w:rsidRDefault="000359F6" w:rsidP="000359F6">
      <w:pPr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317" w:lineRule="exact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(администраторов)  источников финансирования местного дефицита бюджета -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согласно приложению 3.</w:t>
      </w:r>
    </w:p>
    <w:p w:rsidR="000359F6" w:rsidRDefault="000359F6" w:rsidP="000359F6">
      <w:pPr>
        <w:pStyle w:val="ConsPlusNormal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органа исполнительной власти местного самоуправления вправе в случае изменения состава и (или) функций главных администраторов (администраторов)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органов местного самоуправления или главных администраторов (администраторов) источников финансирования дефицита бюджета сельского поселения уточнять закрепленные за ними источники доходов бюджета сельского поселения, предусмотренные </w:t>
      </w:r>
      <w:hyperlink r:id="rId5" w:anchor="P33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приложениями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P63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0359F6" w:rsidRDefault="000359F6" w:rsidP="000359F6">
      <w:pPr>
        <w:pStyle w:val="ConsPlusNormal"/>
        <w:ind w:left="540" w:firstLine="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Источники финансирования дефицита бюджета сельского поселения на 201</w:t>
      </w:r>
      <w:r w:rsidRPr="00181E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359F6" w:rsidRDefault="000359F6" w:rsidP="000359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anchor="P79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источники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сельского поселения согласно приложению  4.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2. ДОХОДЫ БЮДЖЕТА СЕЛЬСКОГО ПОСЕЛЕНИЯ «ЧИНГИЛЬТУЙСКОЕ» МУНИЦИПАЛЬНОГО РАЙОНА «КАЛГАНСКИЙ РАЙОН»</w:t>
      </w:r>
    </w:p>
    <w:p w:rsidR="000359F6" w:rsidRDefault="000359F6" w:rsidP="000359F6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3. Собственные доходы сельского поселения </w:t>
      </w:r>
    </w:p>
    <w:p w:rsidR="000359F6" w:rsidRDefault="000359F6" w:rsidP="000359F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4 к настоящему решению.</w:t>
      </w:r>
    </w:p>
    <w:p w:rsidR="000359F6" w:rsidRDefault="000359F6" w:rsidP="000359F6">
      <w:pPr>
        <w:ind w:left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359F6" w:rsidRDefault="000359F6" w:rsidP="000359F6">
      <w:pPr>
        <w:ind w:left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4. Межбюджетные трансферты, получаемы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других бюджетов бюджетной системы в сумме  1 397 200 рублей.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3. РАСХОДЫ БЮДЖЕТА СЕЛЬСКОГО ПОСЕЛЕНИЯ «ЧИНГИЛЬТУЙСКОЕ» МУНИЦИПАЛЬНОГО РАЙОНА «КАЛГАНСКИЙ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359F6" w:rsidRDefault="000359F6" w:rsidP="000359F6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5. Распределение бюджетных ассигнований по расходам бюджета сельского поселения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 муниципального района «Калганский район» на 201</w:t>
      </w:r>
      <w:r w:rsidRPr="00181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видам расходов классификации расходов бюджета в сумме </w:t>
      </w:r>
      <w:r w:rsidRPr="00181E9A">
        <w:rPr>
          <w:rFonts w:ascii="Times New Roman" w:hAnsi="Times New Roman" w:cs="Times New Roman"/>
          <w:color w:val="000000"/>
          <w:sz w:val="28"/>
          <w:szCs w:val="28"/>
        </w:rPr>
        <w:t xml:space="preserve">3435649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приложение № 5 к настоящему решению. 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6. Межбюджетные трансферты, предоставляемые из бюджета муниципального района «Калганский район» в 201</w:t>
      </w:r>
      <w:r w:rsidRPr="00181E9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году. 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в составе межбюджетных трансфертов бюджетные ассигнования на предоставление дотации: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бюджетам поселений на выравнивание уровня бюджетной  обеспеченности в сумме   </w:t>
      </w:r>
      <w:r w:rsidRPr="00181E9A">
        <w:rPr>
          <w:rFonts w:ascii="Times New Roman" w:hAnsi="Times New Roman" w:cs="Times New Roman"/>
          <w:color w:val="000000"/>
          <w:sz w:val="28"/>
          <w:szCs w:val="28"/>
        </w:rPr>
        <w:t>1446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000 рублей.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в составе межбюджетных трансфертов бюджетные ассигнования на предоставление субвенций, выделяемых из  краевого фонда компенсации: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бюджету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на осуществление полномочий по первичному воинскому учету на территориях, где отсутствуют военные комиссариаты, в сумме 67200 рублей.  Распределение данной  субвенции осуществляет Администрация Забайкальского края.</w:t>
      </w:r>
    </w:p>
    <w:p w:rsidR="000359F6" w:rsidRDefault="000359F6" w:rsidP="000359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Предельный объем муниципального долга  на 201</w:t>
      </w:r>
      <w:r w:rsidRPr="00181E9A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59F6" w:rsidRDefault="000359F6" w:rsidP="000359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9F6" w:rsidRDefault="000359F6" w:rsidP="00035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sz w:val="28"/>
          <w:szCs w:val="28"/>
        </w:rPr>
        <w:t xml:space="preserve">1. Утвердить предельный объем муниципального долга в размере,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превышающем 30 процентов от утвержденного общего годового объема доходов бюджета муниципального района без учета утвержденного объема безвозмездных поступлений.</w:t>
      </w:r>
    </w:p>
    <w:p w:rsidR="000359F6" w:rsidRDefault="000359F6" w:rsidP="00035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верхний предел муниципального внутреннего долга  на 1 января 201</w:t>
      </w:r>
      <w:r w:rsidRPr="00181E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предельного объема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установленного </w:t>
      </w:r>
      <w:hyperlink r:id="rId8" w:anchor="P7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359F6" w:rsidRDefault="000359F6" w:rsidP="00035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предельный объем расходов на обслуживание муниципального внутреннего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размере не более 3 процентов от общего объема расходов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8. Особенности заключения и оплаты договоров (муниципальных контрактов) в 201</w:t>
      </w:r>
      <w:r w:rsidRPr="00181E9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Заключение и оплата договоров (муниципальных контрактов), исполнение которых осуществляется за счет бюджетных ассигнований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«Калганский район», производится в пределах утвержденных им лимитов бюджетных обязательств, в соответствии с классификацией расходов бюджетов и учетом принятых и не исполненных обязательств, за исключением случаев, установленных Бюджетным кодексом Российской Федерации.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подлежат оплате обязательства, вытекающие из договоров (муниципальных контрактов), заключенных на сумму, превышающую установленный Центральным банков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по итогам размещения заказов.</w:t>
      </w:r>
      <w:proofErr w:type="gramEnd"/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Статья 9. Особенности использования средств казенными и бюджетными учреждениями в 201</w:t>
      </w:r>
      <w:r w:rsidRPr="00181E9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359F6" w:rsidRDefault="000359F6" w:rsidP="000359F6">
      <w:pPr>
        <w:pStyle w:val="ConsPlusNormal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не использованные по состоянию на 1 января 201</w:t>
      </w:r>
      <w:r w:rsidRPr="00181E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края бюджету сельского поселения в форме субвенций,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субсидий (за исключением субсидий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собственности, субсидий на предоставление молодым семьям социальных выплат на приобретение или строительство индивидуального жилого дома), иных межбюджетных трансфертов, имеющих целевое назначение, отраженные на счетах территориального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казначейства, подлежат возврату в бюджет края в течение первых 15 рабочих дней 201</w:t>
      </w:r>
      <w:r w:rsidRPr="00181E9A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59F6" w:rsidRDefault="000359F6" w:rsidP="000359F6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Безвозмездные поступления от физических и юридических лиц, имеющие целевое назначение, поступающие в бюджет сельского поселения, направляются соответствующим распорядителям в порядке, установленном бюджетным законодательством.</w:t>
      </w:r>
    </w:p>
    <w:p w:rsidR="000359F6" w:rsidRDefault="000359F6" w:rsidP="000359F6">
      <w:pPr>
        <w:pStyle w:val="ConsPlusNormal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создание автономного учреждения путем изменения типа бюджетного учреждения, являющегося получателем бюджетных средств, либо при принятии решения о предоставлении бюджетному учреждению субсидии в соответствии со статьей 78 Бюджетного кодекса Российской Федерации  остатки средств от оказание платных услуг,  безвозмездных поступлений от физических и юридических лиц, в том числе добровольных пожертвований, средств от иной приносящей доход деятельности и средств, поступивших во временноераспоряжение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учреждения, являющегося получателем бюджетных средств, зачисленные в доход бюджета или учтенные на соответствующих лицевых или учтенные на соответствующих лицевых счетах, открытых в территориальном органе Федерального казначейства данному бюджетному учреждению,  подлежат перечислению в установленном порядке на счета, на которых в соответствии с законодательством Российской Федерации учитываются средства автономных учреждений и бюджетных учреждений.  </w:t>
      </w:r>
      <w:proofErr w:type="gramEnd"/>
    </w:p>
    <w:p w:rsidR="000359F6" w:rsidRDefault="000359F6" w:rsidP="000359F6">
      <w:pPr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средства при создании автономного учреждения путем изменения типа бюджетного учреждения, являющегося получателем бюджетных средств, подлежат перечислению территориальным органом Федерального казначейства по месту обслуживания бюджетного учреждения, являющегося получателем бюджетных средств, в соответствии необходимыми для их перечисления реквизитами, указанным главным распорядителем средств бюджета края, в ведении которого находилось данное бюджетного учреждение.       </w:t>
      </w:r>
      <w:proofErr w:type="gramEnd"/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4. ЗАКЛЮЧИТЕЛЬНЫЕ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59F6" w:rsidRDefault="000359F6" w:rsidP="000359F6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10. Обеспечение выполнения требований бюджетного законодательства.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Администрация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«Калганский район» не вправе принимать решения,  приводящие к увеличению численности муниципальных служащих, работников учреждений бюджетной сферы, за исключением случаев принятия федеральных и краевых законов о наделении дополнительными полномочиями.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11.  Вступление в силу настоящего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Нормативные правовые акты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«Калганский район» подлежат приведению в соответствие с настоящим решением.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Решение от 08 ноября 201</w:t>
      </w:r>
      <w:r w:rsidRPr="00181E9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35C25">
        <w:rPr>
          <w:rFonts w:ascii="Times New Roman" w:hAnsi="Times New Roman" w:cs="Times New Roman"/>
          <w:color w:val="000000"/>
          <w:sz w:val="28"/>
          <w:szCs w:val="28"/>
        </w:rPr>
        <w:t xml:space="preserve"> года №59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на 201</w:t>
      </w:r>
      <w:r w:rsidRPr="00181E9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год» считать утратившим силу.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01 января 201</w:t>
      </w:r>
      <w:r w:rsidRPr="00181E9A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                    М.И.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Кутенков</w:t>
      </w:r>
      <w:proofErr w:type="spellEnd"/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 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59F6" w:rsidRPr="00181E9A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181E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1E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201</w:t>
      </w:r>
      <w:r w:rsidRPr="00181E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   №</w:t>
      </w:r>
      <w:r w:rsidRPr="00181E9A">
        <w:rPr>
          <w:rFonts w:ascii="Times New Roman" w:hAnsi="Times New Roman" w:cs="Times New Roman"/>
          <w:sz w:val="28"/>
          <w:szCs w:val="28"/>
        </w:rPr>
        <w:t>88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9F6" w:rsidRDefault="000359F6" w:rsidP="000359F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59F6" w:rsidRDefault="000359F6" w:rsidP="000359F6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359F6" w:rsidRDefault="000359F6" w:rsidP="000359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источников доходов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главными администраторами (администраторами) доходов бюджета сельского поселения – органами государственной власти Российской Федерации и Забайкальского края </w:t>
      </w: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0580" w:type="dxa"/>
        <w:tblLayout w:type="fixed"/>
        <w:tblLook w:val="01E0"/>
      </w:tblPr>
      <w:tblGrid>
        <w:gridCol w:w="1008"/>
        <w:gridCol w:w="3060"/>
        <w:gridCol w:w="5506"/>
        <w:gridCol w:w="5503"/>
        <w:gridCol w:w="5503"/>
      </w:tblGrid>
      <w:tr w:rsidR="000359F6" w:rsidTr="000359F6">
        <w:trPr>
          <w:gridAfter w:val="2"/>
          <w:wAfter w:w="11004" w:type="dxa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главных администраторов доходов бюджета сельского поселения – органами государственной власти Российской Федерации и Забайкальского края</w:t>
            </w:r>
          </w:p>
        </w:tc>
      </w:tr>
      <w:tr w:rsidR="000359F6" w:rsidTr="000359F6">
        <w:trPr>
          <w:gridAfter w:val="2"/>
          <w:wAfter w:w="11004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6" w:rsidRDefault="0003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9F6" w:rsidTr="000359F6">
        <w:trPr>
          <w:gridAfter w:val="2"/>
          <w:wAfter w:w="11004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59F6" w:rsidTr="000359F6">
        <w:trPr>
          <w:gridAfter w:val="2"/>
          <w:wAfter w:w="11004" w:type="dxa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Федеральной налоговой службы по Забайкальскому краю</w:t>
            </w:r>
          </w:p>
        </w:tc>
      </w:tr>
      <w:tr w:rsidR="000359F6" w:rsidTr="000359F6">
        <w:trPr>
          <w:gridAfter w:val="2"/>
          <w:wAfter w:w="11004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0359F6" w:rsidTr="000359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502" w:type="dxa"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5502" w:type="dxa"/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1 08 04020 01 4000 110</w:t>
            </w:r>
          </w:p>
        </w:tc>
      </w:tr>
      <w:tr w:rsidR="000359F6" w:rsidTr="000359F6">
        <w:trPr>
          <w:gridAfter w:val="2"/>
          <w:wAfter w:w="11004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1 09 00000 00 0000 110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и перерасчеты по отмененным налогам, сборам и иным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обязательным платежам</w:t>
            </w:r>
          </w:p>
        </w:tc>
      </w:tr>
    </w:tbl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C25" w:rsidRDefault="00535C25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59F6" w:rsidRPr="00181E9A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181E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1E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201</w:t>
      </w:r>
      <w:r w:rsidRPr="00181E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181E9A">
        <w:rPr>
          <w:rFonts w:ascii="Times New Roman" w:hAnsi="Times New Roman" w:cs="Times New Roman"/>
          <w:sz w:val="28"/>
          <w:szCs w:val="28"/>
        </w:rPr>
        <w:t>88</w:t>
      </w:r>
    </w:p>
    <w:p w:rsidR="000359F6" w:rsidRDefault="000359F6" w:rsidP="000359F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59F6" w:rsidRDefault="000359F6" w:rsidP="000359F6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359F6" w:rsidRDefault="000359F6" w:rsidP="000359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КОДОВ  БЮДЖЕТНОЙ КЛАССИФИКАЦИИ, ЗАКРЕПЛЕННЫХ ЗА ГЛАВНЫМ АДМИНИСТРАТОРОМ (АДМИНИСТРАТОРОМ) ДОХОДОВ БЮДЖЕТА СЕЛЬСКОГО ПОСЕЛЕНИЯ «ЧИНГИЛЬТУЙСКОЕ» </w:t>
      </w: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20580" w:type="dxa"/>
        <w:tblLayout w:type="fixed"/>
        <w:tblLook w:val="01E0"/>
      </w:tblPr>
      <w:tblGrid>
        <w:gridCol w:w="1008"/>
        <w:gridCol w:w="3060"/>
        <w:gridCol w:w="5504"/>
        <w:gridCol w:w="5504"/>
        <w:gridCol w:w="5504"/>
      </w:tblGrid>
      <w:tr w:rsidR="000359F6" w:rsidTr="000359F6">
        <w:trPr>
          <w:gridAfter w:val="2"/>
          <w:wAfter w:w="11006" w:type="dxa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6" w:rsidRPr="00181E9A" w:rsidRDefault="0003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359F6" w:rsidTr="000359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1 08 04020 01 4000 110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03" w:type="dxa"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3" w:type="dxa"/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1 08 04020 01 4000 110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  находящегося в собственности поселений (в части реализации за исключением имущества муниципальных, бюджетных и  автономных унитарных предприятий, в том числе казенных), основных средств по указанному имуществу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зачисленные в бюджет поселений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2 02 40014 10 0000 151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2 02 39999 10 0000 151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2 02 35118 10 0000 151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359F6" w:rsidTr="000359F6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framePr w:w="5167" w:h="1363" w:wrap="auto" w:vAnchor="text" w:hAnchor="page" w:x="1456" w:y="-30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framePr w:w="5167" w:h="1363" w:wrap="auto" w:vAnchor="text" w:hAnchor="page" w:x="1456" w:y="-30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framePr w:w="5167" w:h="1363" w:wrap="auto" w:vAnchor="text" w:hAnchor="page" w:x="1456" w:y="-30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framePr w:w="5167" w:h="1363" w:wrap="auto" w:vAnchor="text" w:hAnchor="page" w:x="1456" w:y="-30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0359F6" w:rsidRDefault="000359F6" w:rsidP="000359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Совета </w:t>
      </w:r>
    </w:p>
    <w:p w:rsidR="000359F6" w:rsidRDefault="000359F6" w:rsidP="000359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0359F6" w:rsidRDefault="000359F6" w:rsidP="000359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359F6" w:rsidRPr="00181E9A" w:rsidRDefault="000359F6" w:rsidP="000359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Pr="00181E9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81E9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 201</w:t>
      </w:r>
      <w:r w:rsidRPr="00181E9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г.  №</w:t>
      </w:r>
      <w:r w:rsidRPr="00181E9A">
        <w:rPr>
          <w:rFonts w:ascii="Times New Roman" w:hAnsi="Times New Roman" w:cs="Times New Roman"/>
          <w:color w:val="000000"/>
          <w:sz w:val="28"/>
          <w:szCs w:val="28"/>
        </w:rPr>
        <w:t>88</w:t>
      </w:r>
    </w:p>
    <w:p w:rsidR="000359F6" w:rsidRDefault="000359F6" w:rsidP="000359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F6" w:rsidRDefault="000359F6" w:rsidP="000359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 отчислений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</w:p>
    <w:p w:rsidR="000359F6" w:rsidRDefault="000359F6" w:rsidP="000359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налогов, зачисляемых в бюджет сельского поселения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на 2019 год</w:t>
      </w:r>
    </w:p>
    <w:p w:rsidR="000359F6" w:rsidRDefault="000359F6" w:rsidP="000359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077"/>
        <w:gridCol w:w="3544"/>
        <w:gridCol w:w="1721"/>
      </w:tblGrid>
      <w:tr w:rsidR="000359F6" w:rsidTr="000359F6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Бюджеты поселений %</w:t>
            </w:r>
          </w:p>
        </w:tc>
      </w:tr>
      <w:tr w:rsidR="000359F6" w:rsidTr="000359F6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359F6" w:rsidTr="000359F6">
        <w:trPr>
          <w:trHeight w:val="2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  <w:p w:rsidR="000359F6" w:rsidRDefault="000359F6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80210606000030000110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59F6" w:rsidTr="000359F6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80210102021010000110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F6" w:rsidRDefault="0003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359F6" w:rsidTr="000359F6">
        <w:trPr>
          <w:trHeight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80210601000030000110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 на имущество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359F6" w:rsidTr="000359F6">
        <w:trPr>
          <w:trHeight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80210503000010000110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tabs>
          <w:tab w:val="left" w:pos="6000"/>
          <w:tab w:val="left" w:pos="8460"/>
          <w:tab w:val="lef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0359F6" w:rsidRDefault="000359F6" w:rsidP="000359F6">
      <w:pPr>
        <w:pStyle w:val="ConsPlusNormal"/>
        <w:widowControl/>
        <w:tabs>
          <w:tab w:val="left" w:pos="284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 решению Совета  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сельского поселения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  <w:lang w:val="en-US"/>
        </w:rPr>
        <w:t>88</w:t>
      </w:r>
    </w:p>
    <w:p w:rsidR="000359F6" w:rsidRDefault="000359F6" w:rsidP="000359F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59F6" w:rsidRDefault="000359F6" w:rsidP="000359F6">
      <w:pPr>
        <w:tabs>
          <w:tab w:val="left" w:pos="600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59F6" w:rsidRDefault="000359F6" w:rsidP="000359F6">
      <w:pPr>
        <w:tabs>
          <w:tab w:val="left" w:pos="600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59F6" w:rsidRDefault="000359F6" w:rsidP="0003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Поступление  доходов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201</w:t>
      </w:r>
      <w:r w:rsidRPr="00181E9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359F6" w:rsidRDefault="000359F6" w:rsidP="000359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6"/>
        <w:gridCol w:w="5186"/>
        <w:gridCol w:w="1723"/>
      </w:tblGrid>
      <w:tr w:rsidR="000359F6" w:rsidTr="000359F6">
        <w:trPr>
          <w:trHeight w:val="3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F6" w:rsidRDefault="000359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0359F6" w:rsidTr="000359F6">
        <w:trPr>
          <w:trHeight w:val="19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бюджета всего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Pr="00181E9A" w:rsidRDefault="00181E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2189300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6" w:rsidRDefault="000359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Pr="00181E9A" w:rsidRDefault="00181E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76300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80210102010011000110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181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359F6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181E9A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9A" w:rsidRDefault="00181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  <w:r w:rsidRPr="00181E9A">
              <w:rPr>
                <w:rFonts w:ascii="Times New Roman" w:hAnsi="Times New Roman" w:cs="Times New Roman"/>
                <w:sz w:val="28"/>
                <w:szCs w:val="28"/>
              </w:rPr>
              <w:t>10503010011000110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9A" w:rsidRPr="00181E9A" w:rsidRDefault="00181E9A" w:rsidP="00181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сельхозналог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9A" w:rsidRDefault="00181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80210600000000000000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181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59F6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80210606013100000110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181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359F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6" w:rsidRDefault="00035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  <w:p w:rsidR="000359F6" w:rsidRDefault="00035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F6" w:rsidRDefault="00035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80210804020011000110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181E9A" w:rsidP="00181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2 000</w:t>
            </w:r>
          </w:p>
        </w:tc>
      </w:tr>
      <w:tr w:rsidR="00181E9A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9A" w:rsidRDefault="00181E9A" w:rsidP="001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  <w:r w:rsidRPr="00181E9A">
              <w:rPr>
                <w:rFonts w:ascii="Times New Roman" w:hAnsi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9A" w:rsidRDefault="00181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E9A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9A" w:rsidRDefault="00181E9A" w:rsidP="0018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181E9A" w:rsidP="00181E9A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  <w:r w:rsidRPr="00181E9A">
              <w:rPr>
                <w:rFonts w:ascii="Times New Roman" w:hAnsi="Times New Roman" w:cs="Times New Roman"/>
                <w:sz w:val="28"/>
                <w:szCs w:val="28"/>
              </w:rPr>
              <w:t>117140301000001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5</w:t>
            </w:r>
            <w:r w:rsidRPr="00181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181E9A" w:rsidP="00181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12 000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80211301995100000130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181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6" w:rsidRDefault="00035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E14E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2 013 000</w:t>
            </w:r>
          </w:p>
        </w:tc>
      </w:tr>
      <w:tr w:rsidR="000359F6" w:rsidTr="000359F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80220215001100000151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181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1 907 300</w:t>
            </w:r>
          </w:p>
        </w:tc>
      </w:tr>
      <w:tr w:rsidR="000359F6" w:rsidTr="000359F6">
        <w:trPr>
          <w:trHeight w:val="80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80220235118100000151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03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6" w:rsidRDefault="00181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105 700</w:t>
            </w:r>
          </w:p>
        </w:tc>
      </w:tr>
      <w:tr w:rsidR="000359F6" w:rsidTr="000359F6"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9F6" w:rsidRDefault="000359F6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  <w:p w:rsidR="000359F6" w:rsidRDefault="000359F6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</w:tbl>
    <w:p w:rsidR="000359F6" w:rsidRDefault="000359F6" w:rsidP="000359F6">
      <w:pPr>
        <w:rPr>
          <w:rFonts w:ascii="Times New Roman" w:hAnsi="Times New Roman" w:cs="Times New Roman"/>
          <w:b/>
          <w:sz w:val="28"/>
          <w:szCs w:val="28"/>
        </w:rPr>
      </w:pPr>
    </w:p>
    <w:p w:rsidR="000359F6" w:rsidRDefault="000359F6" w:rsidP="00035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59F6" w:rsidRDefault="000359F6" w:rsidP="000359F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359F6" w:rsidRDefault="000359F6" w:rsidP="000359F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359F6" w:rsidRDefault="000359F6" w:rsidP="000359F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359F6" w:rsidRDefault="000359F6" w:rsidP="000359F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359F6" w:rsidRDefault="000359F6" w:rsidP="000359F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359F6" w:rsidRDefault="000359F6" w:rsidP="000359F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35C25" w:rsidRDefault="00535C25" w:rsidP="00A650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09A" w:rsidRDefault="00A6509A" w:rsidP="00A650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A6509A" w:rsidRDefault="00A6509A" w:rsidP="00A6509A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6509A" w:rsidRDefault="00A6509A" w:rsidP="00A6509A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509A" w:rsidRDefault="00A6509A" w:rsidP="00A6509A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509A" w:rsidRDefault="00A6509A" w:rsidP="00A6509A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г.   №</w:t>
      </w:r>
      <w:r>
        <w:rPr>
          <w:rFonts w:ascii="Times New Roman" w:hAnsi="Times New Roman" w:cs="Times New Roman"/>
          <w:sz w:val="28"/>
          <w:szCs w:val="28"/>
          <w:lang w:val="en-US"/>
        </w:rPr>
        <w:t>88</w:t>
      </w:r>
    </w:p>
    <w:p w:rsidR="00A6509A" w:rsidRDefault="00A6509A" w:rsidP="00A6509A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A6509A" w:rsidRDefault="00A6509A" w:rsidP="00A6509A">
      <w:pPr>
        <w:rPr>
          <w:rFonts w:ascii="Times New Roman" w:hAnsi="Times New Roman" w:cs="Times New Roman"/>
          <w:sz w:val="28"/>
          <w:szCs w:val="28"/>
        </w:rPr>
      </w:pPr>
    </w:p>
    <w:p w:rsidR="00A6509A" w:rsidRDefault="00A6509A" w:rsidP="00A65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местного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509A" w:rsidRDefault="00A6509A" w:rsidP="00A650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 разделам и подразделам, целевым статьям и видам расходов   </w:t>
      </w:r>
    </w:p>
    <w:p w:rsidR="00A6509A" w:rsidRDefault="00A6509A" w:rsidP="00A650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функциональной классификации  на 2019 год</w:t>
      </w:r>
    </w:p>
    <w:p w:rsidR="00A6509A" w:rsidRDefault="00A6509A" w:rsidP="00A6509A">
      <w:pPr>
        <w:rPr>
          <w:rFonts w:ascii="Times New Roman" w:hAnsi="Times New Roman" w:cs="Times New Roman"/>
        </w:rPr>
      </w:pPr>
    </w:p>
    <w:tbl>
      <w:tblPr>
        <w:tblW w:w="107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4"/>
        <w:gridCol w:w="709"/>
        <w:gridCol w:w="528"/>
        <w:gridCol w:w="563"/>
        <w:gridCol w:w="1621"/>
        <w:gridCol w:w="720"/>
        <w:gridCol w:w="1260"/>
      </w:tblGrid>
      <w:tr w:rsidR="00A6509A" w:rsidTr="00E14E0A">
        <w:trPr>
          <w:trHeight w:val="278"/>
        </w:trPr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 w:rsidP="00E14E0A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Наименование показателя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A6509A" w:rsidTr="00E14E0A">
        <w:trPr>
          <w:trHeight w:val="572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9A" w:rsidRDefault="00A6509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 классификации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9A" w:rsidRDefault="00A6509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Pr="00E14E0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E14E0A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3541349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636 600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368 100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111 200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по начислениям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157 300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Аппарат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389 481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214 481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64 800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 начислениям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110 200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93"/>
              <w:gridCol w:w="709"/>
              <w:gridCol w:w="528"/>
              <w:gridCol w:w="563"/>
              <w:gridCol w:w="1620"/>
              <w:gridCol w:w="720"/>
              <w:gridCol w:w="1260"/>
            </w:tblGrid>
            <w:tr w:rsidR="00E14E0A" w:rsidRPr="00E14E0A" w:rsidTr="00E14E0A">
              <w:tc>
                <w:tcPr>
                  <w:tcW w:w="5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14E0A" w:rsidRPr="00E14E0A" w:rsidRDefault="00E14E0A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14E0A" w:rsidRPr="00E14E0A" w:rsidRDefault="00E14E0A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14E0A" w:rsidRPr="00E14E0A" w:rsidRDefault="00E14E0A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14E0A" w:rsidRPr="00E14E0A" w:rsidRDefault="00E14E0A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14E0A" w:rsidRPr="00E14E0A" w:rsidRDefault="00E14E0A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14E0A" w:rsidRPr="00E14E0A" w:rsidRDefault="00E14E0A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14E0A" w:rsidRPr="00E14E0A" w:rsidRDefault="00E14E0A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</w:tbl>
          <w:p w:rsidR="00A6509A" w:rsidRDefault="00E14E0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0000010093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1 144 707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314 207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94 900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 начислениям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75 100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21 700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16 700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13 900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 (водокачка)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355 000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 (ГСМ, уголь)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174 000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A6509A" w:rsidTr="00E14E0A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00000 10440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  <w:t>1 248 361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817 061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246 800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по начислениям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184 500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00000 80440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16 500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16 500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00000 51180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105 700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80 415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24 285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1 000</w:t>
            </w:r>
          </w:p>
        </w:tc>
      </w:tr>
      <w:tr w:rsidR="00A6509A" w:rsidTr="00E14E0A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6509A" w:rsidRDefault="00A6509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509A" w:rsidRDefault="00A650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509A" w:rsidRDefault="00A6509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3 541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349</w:t>
            </w:r>
          </w:p>
        </w:tc>
      </w:tr>
    </w:tbl>
    <w:p w:rsidR="00A6509A" w:rsidRDefault="00A6509A" w:rsidP="00A6509A">
      <w:pPr>
        <w:rPr>
          <w:rFonts w:eastAsia="Lucida Sans Unicode" w:cs="Tahoma"/>
          <w:kern w:val="2"/>
          <w:lang w:eastAsia="hi-IN" w:bidi="hi-IN"/>
        </w:rPr>
      </w:pPr>
    </w:p>
    <w:p w:rsidR="00AC2B58" w:rsidRDefault="00AC2B58"/>
    <w:sectPr w:rsidR="00AC2B58" w:rsidSect="00AC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04F0304"/>
    <w:multiLevelType w:val="hybridMultilevel"/>
    <w:tmpl w:val="BDD64D12"/>
    <w:lvl w:ilvl="0" w:tplc="07ACB12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61E75"/>
    <w:multiLevelType w:val="hybridMultilevel"/>
    <w:tmpl w:val="3AC8798E"/>
    <w:lvl w:ilvl="0" w:tplc="5A3C3D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40"/>
        </w:tabs>
        <w:ind w:left="14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9F6"/>
    <w:rsid w:val="000359F6"/>
    <w:rsid w:val="00181E9A"/>
    <w:rsid w:val="00535C25"/>
    <w:rsid w:val="00A6509A"/>
    <w:rsid w:val="00AC2B58"/>
    <w:rsid w:val="00E14E0A"/>
    <w:rsid w:val="00E9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8"/>
  </w:style>
  <w:style w:type="paragraph" w:styleId="3">
    <w:name w:val="heading 3"/>
    <w:basedOn w:val="a"/>
    <w:next w:val="a"/>
    <w:link w:val="30"/>
    <w:unhideWhenUsed/>
    <w:qFormat/>
    <w:rsid w:val="00035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59F6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359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59F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359F6"/>
    <w:pPr>
      <w:ind w:left="720"/>
      <w:contextualSpacing/>
    </w:pPr>
  </w:style>
  <w:style w:type="paragraph" w:customStyle="1" w:styleId="ConsPlusNormal">
    <w:name w:val="ConsPlusNormal"/>
    <w:rsid w:val="00035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0;&#1091;&#1090;&#1077;&#1085;&#1082;&#1086;&#1074;%20&#1052;.&#1048;\&#1055;&#1088;&#1086;&#1090;&#1086;&#1082;&#1086;&#1083;%20&#1086;&#1090;%2002.02.17&#1075;.%20&#1073;&#1102;&#1076;&#1078;&#1077;&#109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50;&#1091;&#1090;&#1077;&#1085;&#1082;&#1086;&#1074;%20&#1052;.&#1048;\&#1055;&#1088;&#1086;&#1090;&#1086;&#1082;&#1086;&#1083;%20&#1086;&#1090;%2002.02.17&#1075;.%20&#1073;&#1102;&#1076;&#1078;&#1077;&#109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6;&#1072;&#1073;&#1086;&#1095;&#1080;&#1081;%20&#1089;&#1090;&#1086;&#1083;\&#1050;&#1091;&#1090;&#1077;&#1085;&#1082;&#1086;&#1074;%20&#1052;.&#1048;\&#1055;&#1088;&#1086;&#1090;&#1086;&#1082;&#1086;&#1083;%20&#1086;&#1090;%2002.02.17&#1075;.%20&#1073;&#1102;&#1076;&#1078;&#1077;&#1090;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Documents%20and%20Settings\User\&#1056;&#1072;&#1073;&#1086;&#1095;&#1080;&#1081;%20&#1089;&#1090;&#1086;&#1083;\&#1050;&#1091;&#1090;&#1077;&#1085;&#1082;&#1086;&#1074;%20&#1052;.&#1048;\&#1055;&#1088;&#1086;&#1090;&#1086;&#1082;&#1086;&#1083;%20&#1086;&#1090;%2002.02.17&#1075;.%20&#1073;&#1102;&#1076;&#1078;&#1077;&#1090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2005-12-31T21:13:00Z</dcterms:created>
  <dcterms:modified xsi:type="dcterms:W3CDTF">2006-01-01T00:13:00Z</dcterms:modified>
</cp:coreProperties>
</file>