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«ЧИНГИЛЬТУЙСКОЕ»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29 ноября 2019 года                                     </w:t>
      </w:r>
      <w:r w:rsidR="008F607D">
        <w:rPr>
          <w:rFonts w:ascii="Times New Roman" w:hAnsi="Times New Roman" w:cs="Times New Roman"/>
          <w:sz w:val="28"/>
          <w:szCs w:val="28"/>
        </w:rPr>
        <w:t xml:space="preserve">                            №104</w:t>
      </w:r>
    </w:p>
    <w:p w:rsidR="003D421C" w:rsidRDefault="003D421C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3D421C" w:rsidRDefault="003D421C" w:rsidP="003D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 сельского по</w:t>
      </w:r>
      <w:r w:rsidR="00F36C42">
        <w:rPr>
          <w:rFonts w:ascii="Times New Roman" w:hAnsi="Times New Roman" w:cs="Times New Roman"/>
          <w:b/>
          <w:sz w:val="28"/>
          <w:szCs w:val="28"/>
        </w:rPr>
        <w:t>селения «</w:t>
      </w:r>
      <w:proofErr w:type="spellStart"/>
      <w:r w:rsidR="00F36C42"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 w:rsidR="00F36C42">
        <w:rPr>
          <w:rFonts w:ascii="Times New Roman" w:hAnsi="Times New Roman" w:cs="Times New Roman"/>
          <w:b/>
          <w:sz w:val="28"/>
          <w:szCs w:val="28"/>
        </w:rPr>
        <w:t>»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421C" w:rsidRPr="008F607D" w:rsidRDefault="003D421C" w:rsidP="003D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21C" w:rsidRPr="008F607D" w:rsidRDefault="003D421C" w:rsidP="003D421C">
      <w:pPr>
        <w:ind w:firstLine="720"/>
        <w:jc w:val="both"/>
        <w:rPr>
          <w:b/>
          <w:bCs/>
        </w:rPr>
      </w:pPr>
      <w:r w:rsidRPr="008F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ст.45 Устава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3D421C" w:rsidRDefault="003D421C" w:rsidP="003D421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Принять и утвердить бюджет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на 2020 год.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на 2020 год.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общий объем доходов в сумме    -  2218500 рублей;</w:t>
      </w:r>
    </w:p>
    <w:p w:rsidR="003D421C" w:rsidRDefault="003D421C" w:rsidP="003D421C">
      <w:pPr>
        <w:numPr>
          <w:ilvl w:val="0"/>
          <w:numId w:val="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в сумме   -  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5413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D421C" w:rsidRDefault="003D421C" w:rsidP="003D421C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2. Главные администраторы (администраторы) доходов бюджета сельского поселения и главные администраторы (администраторы) источников финансирования дефицита  бюджета сельского поселения на 2020 год.</w:t>
      </w:r>
    </w:p>
    <w:p w:rsidR="003D421C" w:rsidRDefault="003D421C" w:rsidP="003D421C">
      <w:pPr>
        <w:shd w:val="clear" w:color="auto" w:fill="FFFFFF"/>
        <w:spacing w:line="317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21C" w:rsidRDefault="003D421C" w:rsidP="003D421C">
      <w:pPr>
        <w:widowControl w:val="0"/>
        <w:numPr>
          <w:ilvl w:val="0"/>
          <w:numId w:val="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7" w:lineRule="exact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(администраторов) доходов и закрепить за ними виды (подвиды)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исполнительных органов государственной власти Российской Федерации согласно приложению 1.</w:t>
      </w:r>
    </w:p>
    <w:p w:rsidR="003D421C" w:rsidRDefault="003D421C" w:rsidP="003D421C">
      <w:pPr>
        <w:widowControl w:val="0"/>
        <w:numPr>
          <w:ilvl w:val="0"/>
          <w:numId w:val="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7" w:lineRule="exact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главных администраторов (администраторов) доходов и закрепить за ними виды (подвиды)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органов местного самоуправления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на 2020 год, согласно приложению  2.</w:t>
      </w:r>
    </w:p>
    <w:p w:rsidR="003D421C" w:rsidRDefault="003D421C" w:rsidP="003D421C">
      <w:pPr>
        <w:widowControl w:val="0"/>
        <w:numPr>
          <w:ilvl w:val="0"/>
          <w:numId w:val="3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7" w:lineRule="exact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(администраторов)  источников финансирования местного дефицита бюджета -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приложению 3.</w:t>
      </w:r>
    </w:p>
    <w:p w:rsidR="003D421C" w:rsidRDefault="003D421C" w:rsidP="003D421C">
      <w:pPr>
        <w:pStyle w:val="ConsPlusNormal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органа исполнительной власти местного самоуправления вправе в случае изменения состава и (или) функций главных администраторов (администраторов)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органов местного самоуправления или главных администраторов (администраторов) источников финансирования дефицита бюджета сельского поселения уточнять закрепленные за ними источники доходов бюджета сельского поселения, предусмотренные </w:t>
      </w:r>
      <w:hyperlink r:id="rId5" w:anchor="P3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приложениями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P63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3D421C" w:rsidRDefault="003D421C" w:rsidP="003D421C">
      <w:pPr>
        <w:pStyle w:val="ConsPlusNormal"/>
        <w:ind w:left="540"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Источники финансирования дефицита бюджета сельского поселения на 2020 год:</w:t>
      </w:r>
    </w:p>
    <w:p w:rsidR="003D421C" w:rsidRDefault="003D421C" w:rsidP="003D421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79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источники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сельского поселения согласно приложению  4.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2. ДОХОДЫ БЮДЖЕТА СЕЛЬСКОГО ПОСЕЛЕНИЯ «ЧИНГИЛЬТУЙСКОЕ» МУНИЦИПАЛЬНОГО РАЙОНА «КАЛГАНСКИЙ РАЙОН»</w:t>
      </w:r>
    </w:p>
    <w:p w:rsidR="003D421C" w:rsidRDefault="003D421C" w:rsidP="003D421C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3. Собственные доходы сельского поселения </w:t>
      </w:r>
    </w:p>
    <w:p w:rsidR="003D421C" w:rsidRDefault="003D421C" w:rsidP="003D421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4 к настоящему решению.</w:t>
      </w:r>
    </w:p>
    <w:p w:rsidR="003D421C" w:rsidRDefault="003D421C" w:rsidP="003D421C">
      <w:pPr>
        <w:ind w:left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421C" w:rsidRDefault="003D421C" w:rsidP="003D421C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4. Межбюджетные трансферты, получаемые из других бюджетов бюджетной системы в сумме  1852000 рублей,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подушевая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субвенция 54200 рублей.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421C" w:rsidRDefault="003D421C" w:rsidP="003D421C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3. РАСХОДЫ БЮДЖЕТА СЕЛЬСКОГО ПОСЕЛЕНИЯ «ЧИНГИЛЬТУЙСКОЕ» МУНИЦИПАЛЬНОГО РАЙОНА «КАЛГАНСКИЙ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421C" w:rsidRDefault="003D421C" w:rsidP="003D421C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5. Распределение бюджетных ассигнований по расходам бюджета сельского поселения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на 2020</w:t>
      </w:r>
      <w:r w:rsidRPr="008F60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видам расходов классификации расходов бюджета в сумме 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 xml:space="preserve">3435649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приложение  5 к настоящему решению. 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6. Межбюджетные трансферты, предоставляемые из бюджета муниципального района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в 2020 году. 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межбюджетных трансфертов бюджетные ассигнования на предоставление дотации: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бюджетам поселений на выравнивание уровня бюджетной  обеспеченности в сумме   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852000 рублей.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межбюджетных трансфертов бюджетные ассигнования на предоставление субвенций, выделяемых из  краевого фонда компенсации:</w:t>
      </w:r>
    </w:p>
    <w:p w:rsidR="003D421C" w:rsidRPr="00D160F9" w:rsidRDefault="003D421C" w:rsidP="003D42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бюджету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осуществление полномочий по первичному воинскому учету на территориях, где отсутствуют военные комиссариаты, в сумме 118100 рублей.  Распределение данной  субвенции осуществляет Администрация Забайкальского края.</w:t>
      </w:r>
    </w:p>
    <w:p w:rsidR="003D421C" w:rsidRDefault="003D421C" w:rsidP="003D42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Предельный объем муниципального долга  на 2020</w:t>
      </w:r>
      <w:r w:rsidRPr="008F60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421C" w:rsidRDefault="003D421C" w:rsidP="003D4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sz w:val="28"/>
          <w:szCs w:val="28"/>
        </w:rPr>
        <w:t>1. Утвердить предельный объем муниципального долга в размере, не превышающем 30 процентов от утвержденного общего годового объема доходов бюджета муниципального района без учета утвержденного объема безвозмездных поступлений.</w:t>
      </w:r>
    </w:p>
    <w:p w:rsidR="003D421C" w:rsidRDefault="003D421C" w:rsidP="003D4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верхний предел муниципального внутреннего долга  на 1 января 2020 года в размере предельного объема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установленного </w:t>
      </w:r>
      <w:hyperlink r:id="rId8" w:anchor="P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3D421C" w:rsidRDefault="003D421C" w:rsidP="003D4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предельный объем расходов на обслуживание муниципального внутреннего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размере не более 3 процентов от общего объема расходов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8. Особенности заключения и оплаты договоров (муниципальных контрактов) в 2020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Заключение и оплата договоров (муниципальных контрактов), исполнение которых осуществляется за счет бюджетных ассигнований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район», производится в пределах утвержденных им лимитов бюджетных обязательств, в соответствии с классификацией расходов бюджетов и учетом принятых и не исполненных обязательств, за исключением случаев, установленных Бюджетным кодексом Российской Федерации.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подлежат оплате обязательства, вытекающие из договоров (муниципальных контрактов), заключенных на сумму, превышающую установленный Центральным банков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 итогам размещения заказов.</w:t>
      </w:r>
      <w:proofErr w:type="gramEnd"/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Особенности использования средств казенными и бюджетными учреждениями в 2020 году</w:t>
      </w:r>
    </w:p>
    <w:p w:rsidR="003D421C" w:rsidRDefault="003D421C" w:rsidP="003D421C">
      <w:pPr>
        <w:pStyle w:val="ConsPlusNormal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2020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года остатки межбюджетных трансфертов, предоставленных из бюджета края бюджету сельского поселения в форме субвенций, субсидий (за исключением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собственности, субсидий на предоставление молодым семьям социальных выплат на приобретение или строительство индивидуального жилого дома), иных межбюджетных трансфертов, имеющих целевое назначение, отраженные на счетах территориального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казначейства, подлежат возврату в бюджет края в течение первых 15 рабочих дней 2020 года.</w:t>
      </w:r>
    </w:p>
    <w:p w:rsidR="003D421C" w:rsidRDefault="003D421C" w:rsidP="003D421C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Безвозмездные поступления от физических и юридических лиц, имеющие целевое назначение, поступающие в бюджет сельского поселения, направляются соответствующим распорядителям в порядке, установленном бюджетным законодательством.</w:t>
      </w:r>
    </w:p>
    <w:p w:rsidR="003D421C" w:rsidRDefault="003D421C" w:rsidP="003D421C">
      <w:pPr>
        <w:pStyle w:val="ConsPlusNormal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F36C42" w:rsidP="003D421C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создании</w:t>
      </w:r>
      <w:r w:rsidR="003D421C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автономного учреждения путем изменения типа бюджетного учреждения, являющегося получателем бюджетных средств, либо при принятии решения о предоставлении бюджетному учреждению субсидии в соответствии со статьей 78 Бюджетного кодекса Российской Федерации  остатки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 от оказания</w:t>
      </w:r>
      <w:r w:rsidR="003D421C">
        <w:rPr>
          <w:rFonts w:ascii="Times New Roman" w:hAnsi="Times New Roman" w:cs="Times New Roman"/>
          <w:color w:val="000000"/>
          <w:sz w:val="28"/>
          <w:szCs w:val="28"/>
        </w:rPr>
        <w:t xml:space="preserve"> платных услуг,  безвозмездных поступлений от физических и юридических лиц, в том числе добровольных пожертвований, средств от иной приносящей доход деятельности и средств, поступивших во временное</w:t>
      </w:r>
      <w:proofErr w:type="gramEnd"/>
      <w:r w:rsidR="003D4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421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бюджетного учреждения, являющегося получателем бюджетных средств, зачисленные в доход бюджета или учтенные на соответствующих лицевых или учтенные на соответствующих лицевых счетах, открытых в территориальном органе Федерального казначейства данному бюджетному учреждению,  подлежат перечислению в установленном порядке на счета, на которых в соответствии с законодательством Российской Федерации учитываются средства автономных учреждений и бюджетных учреждений.  </w:t>
      </w:r>
      <w:proofErr w:type="gramEnd"/>
    </w:p>
    <w:p w:rsidR="003D421C" w:rsidRDefault="003D421C" w:rsidP="003D421C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средства при создании автономного учреждения путем изменения типа бюджетного учреждения, являющегося получателем бюджетных средств, подлежат перечислению территориальным органом Федерального казначейства по месту обслуживания бюджетного учреждения, являющегося получателем бюджетных средств, в соответствии необходимыми для их перечисления реквизитами, указанным главным распорядителем средств бюджета края, в ведении которого находилось данное бюджетного учреждение.       </w:t>
      </w:r>
      <w:proofErr w:type="gramEnd"/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4. ЗАКЛЮЧИТЕЛЬНЫЕ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21C" w:rsidRDefault="003D421C" w:rsidP="003D421C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10. Обеспечение выполнения требований бюджетного законодательства.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Администрация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не вправе принимать решения,  приводящие к увеличению численности муниципальных служащих, работников учреждений бюджетной сферы, за исключением случаев принятия федеральных и краевых законов о наделении дополнительными полномочиями.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11.  Вступление в силу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Нормативные правовые акты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подлежат приведению в соответствие с настоящим решением.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Решение от 20 ноября 2018 года №88«О бюджете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2019 год» считать утратившим силу.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01 января 2020 года.</w:t>
      </w:r>
    </w:p>
    <w:p w:rsidR="00F36C42" w:rsidRPr="008F607D" w:rsidRDefault="00F36C42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Обнародовать настоящее решение, официально, на информационном стенде в СДК, разместить на сайте администрации в сети Интернет: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калга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selskoe</w:t>
      </w:r>
      <w:proofErr w:type="spellEnd"/>
      <w:r w:rsidRPr="008F60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poselenie</w:t>
      </w:r>
      <w:proofErr w:type="spellEnd"/>
      <w:r w:rsidRPr="008F60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chingiltuskoe</w:t>
      </w:r>
      <w:proofErr w:type="spellEnd"/>
      <w:r w:rsidRPr="008F607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</w:p>
    <w:p w:rsidR="003D421C" w:rsidRDefault="003D421C" w:rsidP="003D421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         М.И.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Кутенков</w:t>
      </w:r>
      <w:proofErr w:type="spellEnd"/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F36C4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 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421C" w:rsidRPr="00702AA1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 w:rsidRPr="008F60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2019г.    №103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1C" w:rsidRDefault="003D421C" w:rsidP="003D421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D421C" w:rsidRDefault="003D421C" w:rsidP="003D421C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421C" w:rsidRDefault="003D421C" w:rsidP="003D42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источников доходов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главными администраторами (администраторами) доходов бюджета сельского поселения – органами государственной власти Российской Федерации и Забайкальского края 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580" w:type="dxa"/>
        <w:tblLayout w:type="fixed"/>
        <w:tblLook w:val="01E0"/>
      </w:tblPr>
      <w:tblGrid>
        <w:gridCol w:w="1008"/>
        <w:gridCol w:w="3060"/>
        <w:gridCol w:w="5506"/>
        <w:gridCol w:w="5503"/>
        <w:gridCol w:w="5503"/>
      </w:tblGrid>
      <w:tr w:rsidR="003D421C" w:rsidTr="00F36C42">
        <w:trPr>
          <w:gridAfter w:val="2"/>
          <w:wAfter w:w="11004" w:type="dxa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главных администраторов доходов бюджета сельского поселения – органами государственной власти Российской Федерации и Забайкальского края</w:t>
            </w:r>
          </w:p>
        </w:tc>
      </w:tr>
      <w:tr w:rsidR="003D421C" w:rsidTr="00F36C42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C" w:rsidRDefault="003D421C" w:rsidP="00F36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1C" w:rsidTr="00F36C42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D421C" w:rsidTr="00F36C42">
        <w:trPr>
          <w:gridAfter w:val="2"/>
          <w:wAfter w:w="11004" w:type="dxa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</w:tc>
      </w:tr>
      <w:tr w:rsidR="003D421C" w:rsidTr="00F36C42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3D421C" w:rsidTr="00F36C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502" w:type="dxa"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5502" w:type="dxa"/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</w:tr>
      <w:tr w:rsidR="003D421C" w:rsidTr="00F36C42">
        <w:trPr>
          <w:gridAfter w:val="2"/>
          <w:wAfter w:w="11004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1 09 00000 00 0000 110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421C" w:rsidRPr="00702AA1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 w:rsidRPr="008F60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2019г. №103</w:t>
      </w:r>
    </w:p>
    <w:p w:rsidR="003D421C" w:rsidRDefault="003D421C" w:rsidP="003D421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D421C" w:rsidRDefault="003D421C" w:rsidP="003D421C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421C" w:rsidRDefault="003D421C" w:rsidP="003D42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КОДОВ  БЮДЖЕТНОЙ КЛАССИФИКАЦИИ, ЗАКРЕПЛЕННЫХ ЗА ГЛАВНЫМ АДМИНИСТРАТОРОМ (АДМИНИСТРАТОРОМ) ДОХОДОВ БЮДЖЕТА СЕЛЬСКОГО ПОСЕЛЕНИЯ «ЧИНГИЛЬТУЙСКОЕ» 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20580" w:type="dxa"/>
        <w:tblLayout w:type="fixed"/>
        <w:tblLook w:val="01E0"/>
      </w:tblPr>
      <w:tblGrid>
        <w:gridCol w:w="1008"/>
        <w:gridCol w:w="3060"/>
        <w:gridCol w:w="5504"/>
        <w:gridCol w:w="5504"/>
        <w:gridCol w:w="5504"/>
      </w:tblGrid>
      <w:tr w:rsidR="003D421C" w:rsidTr="00F36C42">
        <w:trPr>
          <w:gridAfter w:val="2"/>
          <w:wAfter w:w="11006" w:type="dxa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C" w:rsidRPr="008F607D" w:rsidRDefault="003D421C" w:rsidP="00F36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421C" w:rsidTr="00F36C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03" w:type="dxa"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1 08 04020 01 4000 110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 находящегося в собственности поселений (в части реализации за исключением имущества муниципальных, бюджетных и  автономных унитарных предприятий, в том числе казенных), основных средств по указанному имуществу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зачисленные в бюджет поселений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2 02 40014 10 0000 151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2 02 39999 10 0000 151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2 02 35118 10 0000 151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D421C" w:rsidTr="00F36C42">
        <w:trPr>
          <w:gridAfter w:val="2"/>
          <w:wAfter w:w="11006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framePr w:w="5167" w:h="1363" w:wrap="auto" w:vAnchor="text" w:hAnchor="page" w:x="1456" w:y="-30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3D421C" w:rsidRDefault="003D421C" w:rsidP="003D42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Совета </w:t>
      </w:r>
    </w:p>
    <w:p w:rsidR="003D421C" w:rsidRDefault="003D421C" w:rsidP="003D42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3D421C" w:rsidRDefault="003D421C" w:rsidP="003D42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421C" w:rsidRPr="00702AA1" w:rsidRDefault="003D421C" w:rsidP="003D42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</w:t>
      </w:r>
      <w:r w:rsidRPr="008F607D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 2019г.  №103</w:t>
      </w:r>
    </w:p>
    <w:p w:rsidR="003D421C" w:rsidRDefault="003D421C" w:rsidP="003D42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1C" w:rsidRDefault="003D421C" w:rsidP="003D42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 отчислений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</w:p>
    <w:p w:rsidR="003D421C" w:rsidRDefault="003D421C" w:rsidP="003D42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налогов, зачисляемых в бюджет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на 2020 год</w:t>
      </w:r>
    </w:p>
    <w:p w:rsidR="003D421C" w:rsidRDefault="003D421C" w:rsidP="003D42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077"/>
        <w:gridCol w:w="3544"/>
        <w:gridCol w:w="1721"/>
      </w:tblGrid>
      <w:tr w:rsidR="003D421C" w:rsidTr="00F36C4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Бюджеты поселений %</w:t>
            </w:r>
          </w:p>
        </w:tc>
      </w:tr>
      <w:tr w:rsidR="003D421C" w:rsidTr="00F36C4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421C" w:rsidTr="00F36C42">
        <w:trPr>
          <w:trHeight w:val="2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80210606000030000110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D421C" w:rsidTr="00F36C42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80210102021010000110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421C" w:rsidTr="00F36C42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80210601000030000110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D421C" w:rsidTr="00F36C42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80210503000010000110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left" w:pos="8460"/>
          <w:tab w:val="left" w:pos="9354"/>
        </w:tabs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left" w:pos="8460"/>
          <w:tab w:val="lef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left" w:pos="8460"/>
          <w:tab w:val="lef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left" w:pos="8460"/>
          <w:tab w:val="lef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left" w:pos="8460"/>
          <w:tab w:val="lef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left" w:pos="8460"/>
          <w:tab w:val="lef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3D421C" w:rsidRDefault="003D421C" w:rsidP="003D421C">
      <w:pPr>
        <w:pStyle w:val="ConsPlusNormal"/>
        <w:widowControl/>
        <w:tabs>
          <w:tab w:val="left" w:pos="284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к  решению Совета  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сельского поселения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421C" w:rsidRPr="00702AA1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 2019г.  №103</w:t>
      </w:r>
    </w:p>
    <w:p w:rsidR="003D421C" w:rsidRDefault="003D421C" w:rsidP="003D421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421C" w:rsidRDefault="003D421C" w:rsidP="003D421C">
      <w:pPr>
        <w:tabs>
          <w:tab w:val="left" w:pos="600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tabs>
          <w:tab w:val="left" w:pos="600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  доходов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2020 год.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4"/>
        <w:gridCol w:w="5187"/>
        <w:gridCol w:w="1724"/>
      </w:tblGrid>
      <w:tr w:rsidR="003D421C" w:rsidTr="00F36C42">
        <w:trPr>
          <w:trHeight w:val="369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3D421C" w:rsidTr="00F36C42">
        <w:trPr>
          <w:trHeight w:val="19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 всего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2218500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194200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80210102010011000110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80210600000000000000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80210606013100000110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80210804020011000110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5000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80211705050101000180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Pr="008F607D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80211301995100000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Платные услуги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2013000</w:t>
            </w:r>
          </w:p>
        </w:tc>
      </w:tr>
      <w:tr w:rsidR="003D421C" w:rsidTr="00F36C42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80220215001100000151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3D421C" w:rsidTr="00F36C42">
        <w:trPr>
          <w:trHeight w:val="80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80220235118100000151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118100</w:t>
            </w:r>
          </w:p>
        </w:tc>
      </w:tr>
      <w:tr w:rsidR="003D421C" w:rsidTr="00F36C42">
        <w:trPr>
          <w:trHeight w:val="525"/>
        </w:trPr>
        <w:tc>
          <w:tcPr>
            <w:tcW w:w="27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65"/>
              <w:gridCol w:w="1920"/>
            </w:tblGrid>
            <w:tr w:rsidR="003D421C" w:rsidTr="00F36C42">
              <w:trPr>
                <w:trHeight w:val="540"/>
              </w:trPr>
              <w:tc>
                <w:tcPr>
                  <w:tcW w:w="9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21C" w:rsidRDefault="003D421C" w:rsidP="00F36C42">
                  <w:pPr>
                    <w:ind w:left="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8022023511800000</w:t>
                  </w:r>
                </w:p>
                <w:p w:rsidR="003D421C" w:rsidRDefault="003D421C" w:rsidP="00F36C42">
                  <w:pPr>
                    <w:ind w:left="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151          </w:t>
                  </w:r>
                </w:p>
              </w:tc>
            </w:tr>
            <w:tr w:rsidR="003D421C" w:rsidTr="00F36C42">
              <w:trPr>
                <w:gridBefore w:val="1"/>
                <w:wBefore w:w="7665" w:type="dxa"/>
                <w:trHeight w:val="1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21C" w:rsidRDefault="003D421C" w:rsidP="00F36C4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</w:p>
              </w:tc>
            </w:tr>
          </w:tbl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государственных полномочий, на выравнивание бюджетной обеспеченности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54300</w:t>
            </w:r>
          </w:p>
        </w:tc>
      </w:tr>
      <w:tr w:rsidR="003D421C" w:rsidTr="00F36C42">
        <w:trPr>
          <w:trHeight w:val="630"/>
        </w:trPr>
        <w:tc>
          <w:tcPr>
            <w:tcW w:w="27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421C" w:rsidRDefault="003D421C" w:rsidP="00F36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21C" w:rsidRDefault="003D421C" w:rsidP="00F36C42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</w:tbl>
    <w:p w:rsidR="003D421C" w:rsidRDefault="003D421C" w:rsidP="003D421C">
      <w:pPr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D421C" w:rsidRDefault="003D421C" w:rsidP="003D421C">
      <w:pPr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3D421C" w:rsidRDefault="003D421C" w:rsidP="003D421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D421C" w:rsidRDefault="003D421C" w:rsidP="003D421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421C" w:rsidRDefault="003D421C" w:rsidP="003D421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421C" w:rsidRDefault="003D421C" w:rsidP="003D421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2019г.   №103   </w:t>
      </w:r>
    </w:p>
    <w:p w:rsidR="003D421C" w:rsidRDefault="003D421C" w:rsidP="003D421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местного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421C" w:rsidRDefault="003D421C" w:rsidP="003D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 разделам и подразделам, целевым статьям и видам расходов   </w:t>
      </w:r>
    </w:p>
    <w:p w:rsidR="003D421C" w:rsidRDefault="003D421C" w:rsidP="003D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функциональной классификации  на 2020 год</w:t>
      </w:r>
    </w:p>
    <w:p w:rsidR="003D421C" w:rsidRDefault="003D421C" w:rsidP="003D421C">
      <w:pPr>
        <w:rPr>
          <w:rFonts w:ascii="Times New Roman" w:hAnsi="Times New Roman" w:cs="Times New Roman"/>
        </w:rPr>
      </w:pPr>
    </w:p>
    <w:tbl>
      <w:tblPr>
        <w:tblW w:w="10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4"/>
        <w:gridCol w:w="709"/>
        <w:gridCol w:w="528"/>
        <w:gridCol w:w="563"/>
        <w:gridCol w:w="1621"/>
        <w:gridCol w:w="720"/>
        <w:gridCol w:w="1260"/>
      </w:tblGrid>
      <w:tr w:rsidR="003D421C" w:rsidTr="00F36C42">
        <w:trPr>
          <w:trHeight w:val="278"/>
        </w:trPr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показателя</w:t>
            </w:r>
          </w:p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1C" w:rsidRDefault="003D421C" w:rsidP="00F3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3D421C" w:rsidTr="00F36C42">
        <w:trPr>
          <w:trHeight w:val="277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C" w:rsidRDefault="003D421C" w:rsidP="00F36C4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 классификации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C" w:rsidRDefault="003D421C" w:rsidP="00F36C4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Pr="00D370F8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D370F8"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8"/>
                <w:szCs w:val="28"/>
                <w:lang w:eastAsia="hi-IN" w:bidi="hi-IN"/>
              </w:rPr>
              <w:t>3541350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272248,84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182700,00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35348,84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по начислениям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54200,00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247800,00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160300,00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87500,00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80"/>
              <w:gridCol w:w="709"/>
              <w:gridCol w:w="528"/>
              <w:gridCol w:w="563"/>
              <w:gridCol w:w="1620"/>
              <w:gridCol w:w="720"/>
              <w:gridCol w:w="1260"/>
            </w:tblGrid>
            <w:tr w:rsidR="003D421C" w:rsidTr="00F36C42"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3D421C" w:rsidRDefault="003D421C" w:rsidP="00F36C4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D421C" w:rsidRDefault="003D421C" w:rsidP="00F36C4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D421C" w:rsidRDefault="003D421C" w:rsidP="00F36C4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D421C" w:rsidRDefault="003D421C" w:rsidP="00F36C4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D421C" w:rsidRDefault="003D421C" w:rsidP="00F36C4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D421C" w:rsidRDefault="003D421C" w:rsidP="00F36C4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D421C" w:rsidRDefault="003D421C" w:rsidP="00F36C42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0000010093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792700,00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215100,00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10800,00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8300,00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</w:tr>
      <w:tr w:rsidR="003D421C" w:rsidTr="00F36C42">
        <w:trPr>
          <w:trHeight w:val="136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(водокачка)</w:t>
            </w:r>
          </w:p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37200,0</w:t>
            </w:r>
          </w:p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228800</w:t>
            </w:r>
          </w:p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 (ГСМ, уголь)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90600</w:t>
            </w:r>
          </w:p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51000</w:t>
            </w:r>
          </w:p>
        </w:tc>
      </w:tr>
      <w:tr w:rsidR="003D421C" w:rsidTr="00F36C42">
        <w:trPr>
          <w:trHeight w:val="35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00000 10440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  <w:t>684000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468000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00000 80440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1328849 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  <w:t>Капитальный ремонт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8"/>
                <w:szCs w:val="28"/>
                <w:lang w:eastAsia="hi-IN" w:bidi="hi-IN"/>
              </w:rPr>
              <w:t>1322849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00000 51180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118100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90706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27394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Pr="00041612" w:rsidRDefault="003D421C" w:rsidP="00F36C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Pr="00041612" w:rsidRDefault="003D421C" w:rsidP="00F36C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101651,16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101651,16</w:t>
            </w:r>
          </w:p>
        </w:tc>
      </w:tr>
      <w:tr w:rsidR="003D421C" w:rsidTr="00F36C4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Pr="00041612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Default="003D421C" w:rsidP="00F36C4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C" w:rsidRPr="00041612" w:rsidRDefault="003D421C" w:rsidP="00F36C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3541350</w:t>
            </w:r>
          </w:p>
        </w:tc>
      </w:tr>
    </w:tbl>
    <w:p w:rsidR="003D421C" w:rsidRDefault="003D421C" w:rsidP="003D421C"/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СЕЛЬСКОГО ПОСЕЛЕНИЯ «ЧИНГИЛЬТУЙСКОЕ»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421C" w:rsidRDefault="003D421C" w:rsidP="003D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1C" w:rsidRDefault="003D421C" w:rsidP="003D42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 ноября  2019 года                                     </w:t>
      </w:r>
      <w:r w:rsidR="008F607D">
        <w:rPr>
          <w:rFonts w:ascii="Times New Roman" w:hAnsi="Times New Roman" w:cs="Times New Roman"/>
          <w:sz w:val="28"/>
          <w:szCs w:val="28"/>
        </w:rPr>
        <w:t xml:space="preserve">                            №105</w:t>
      </w:r>
    </w:p>
    <w:p w:rsidR="003D421C" w:rsidRDefault="003D421C" w:rsidP="003D421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3D421C" w:rsidRDefault="003D421C" w:rsidP="003D421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421C" w:rsidRDefault="003D421C" w:rsidP="003D42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п.1 ст.10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421C" w:rsidRDefault="0001682C" w:rsidP="003D42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 утвердить</w:t>
      </w:r>
      <w:r w:rsidR="003D421C">
        <w:rPr>
          <w:rFonts w:ascii="Times New Roman" w:hAnsi="Times New Roman" w:cs="Times New Roman"/>
          <w:sz w:val="28"/>
          <w:szCs w:val="28"/>
        </w:rPr>
        <w:t xml:space="preserve"> изменения и дополнения в Устав сельского поселения «</w:t>
      </w:r>
      <w:proofErr w:type="spellStart"/>
      <w:r w:rsidR="003D421C"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="003D421C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3D421C" w:rsidRPr="0095078B" w:rsidRDefault="003D421C" w:rsidP="003D42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 изложить в следующей редакции: «</w:t>
      </w:r>
      <w:r>
        <w:rPr>
          <w:rFonts w:ascii="Times New Roman" w:hAnsi="Times New Roman" w:cs="Times New Roman"/>
          <w:b/>
          <w:sz w:val="28"/>
          <w:szCs w:val="28"/>
        </w:rPr>
        <w:t>Статья 2. Наименование муниципального образования</w:t>
      </w:r>
    </w:p>
    <w:p w:rsidR="003D421C" w:rsidRDefault="003D421C" w:rsidP="003D421C">
      <w:pPr>
        <w:pStyle w:val="a4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Забайкальский край, сокращённая форма – сельское поселение, поселение;</w:t>
      </w:r>
    </w:p>
    <w:p w:rsidR="003D421C" w:rsidRDefault="003D421C" w:rsidP="003D42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 ст.10 отменить;</w:t>
      </w:r>
    </w:p>
    <w:p w:rsidR="003D421C" w:rsidRDefault="003D421C" w:rsidP="003D42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ст.8 дополнить п.14 «14) принятие в соответствии с гражданским законодательством Российской Федерации решения о сносе самовольной постройки или приведении  её в соответствие с установленными требованиями»;</w:t>
      </w:r>
    </w:p>
    <w:p w:rsidR="003D421C" w:rsidRPr="004C09ED" w:rsidRDefault="003D421C" w:rsidP="003D421C">
      <w:pPr>
        <w:spacing w:line="360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C09ED">
        <w:rPr>
          <w:rFonts w:ascii="Times New Roman" w:hAnsi="Times New Roman" w:cs="Times New Roman"/>
          <w:sz w:val="28"/>
          <w:szCs w:val="28"/>
        </w:rPr>
        <w:t>4)</w:t>
      </w:r>
      <w:r w:rsidRPr="004C09ED">
        <w:rPr>
          <w:b/>
          <w:sz w:val="28"/>
          <w:szCs w:val="28"/>
        </w:rPr>
        <w:t xml:space="preserve"> </w:t>
      </w:r>
      <w:r w:rsidRPr="004C09ED">
        <w:rPr>
          <w:rFonts w:ascii="Times New Roman" w:hAnsi="Times New Roman" w:cs="Times New Roman"/>
          <w:sz w:val="28"/>
          <w:szCs w:val="28"/>
        </w:rPr>
        <w:t xml:space="preserve">пп.1 п.6 ст.31 изложить в новой редакции: «пп.1 п.6 ст.31 депутат, глава сельского      поселения должны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 </w:t>
      </w:r>
      <w:proofErr w:type="gramStart"/>
      <w:r w:rsidRPr="004C09ED">
        <w:rPr>
          <w:rFonts w:ascii="Times New Roman" w:hAnsi="Times New Roman" w:cs="Times New Roman"/>
          <w:sz w:val="28"/>
          <w:szCs w:val="28"/>
        </w:rPr>
        <w:t xml:space="preserve">Полномочия депутата, главы сельского поселения прекращаются досрочно в случае </w:t>
      </w:r>
      <w:r w:rsidRPr="004C09ED">
        <w:rPr>
          <w:rFonts w:ascii="Times New Roman" w:hAnsi="Times New Roman" w:cs="Times New Roman"/>
          <w:sz w:val="28"/>
          <w:szCs w:val="28"/>
        </w:rPr>
        <w:lastRenderedPageBreak/>
        <w:t>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</w:t>
      </w:r>
      <w:proofErr w:type="gramEnd"/>
      <w:r w:rsidRPr="004C09ED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№ 131-ФЗ»;</w:t>
      </w:r>
    </w:p>
    <w:p w:rsidR="003D421C" w:rsidRDefault="003D421C" w:rsidP="003D421C">
      <w:pPr>
        <w:spacing w:line="360" w:lineRule="exac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C09ED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 п.4 ст.32 дополнить пп.3 «3) право на обращение с депутатским запросом».</w:t>
      </w:r>
    </w:p>
    <w:p w:rsidR="003D421C" w:rsidRDefault="003D421C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Обнародовать, официально, настоящее решение на информационном стенде в СДК, разместить на сайте администрации в сети Интернет: </w:t>
      </w:r>
      <w:hyperlink r:id="rId9" w:history="1">
        <w:r w:rsidRPr="00ED59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60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5956">
          <w:rPr>
            <w:rStyle w:val="a3"/>
            <w:rFonts w:ascii="Times New Roman" w:hAnsi="Times New Roman" w:cs="Times New Roman"/>
            <w:sz w:val="28"/>
            <w:szCs w:val="28"/>
          </w:rPr>
          <w:t>калга.забайкальскийкрай.рф.</w:t>
        </w:r>
        <w:r w:rsidRPr="00ED59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selskoe</w:t>
        </w:r>
        <w:r w:rsidRPr="008F60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59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poselenie</w:t>
        </w:r>
        <w:r w:rsidRPr="008F60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59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chingiltuskoe</w:t>
        </w:r>
        <w:r w:rsidRPr="008F60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59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8F607D">
        <w:rPr>
          <w:rFonts w:ascii="Times New Roman" w:hAnsi="Times New Roman" w:cs="Times New Roman"/>
          <w:sz w:val="28"/>
          <w:szCs w:val="28"/>
        </w:rPr>
        <w:t>.</w:t>
      </w:r>
    </w:p>
    <w:p w:rsidR="003D421C" w:rsidRDefault="003D421C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D421C" w:rsidRDefault="003D421C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D421C" w:rsidRDefault="003D421C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3D421C">
      <w:pPr>
        <w:spacing w:line="360" w:lineRule="exact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1C3243">
      <w:pPr>
        <w:spacing w:line="360" w:lineRule="exact"/>
        <w:ind w:left="78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СЕЛЬСКОГО ПОСЕЛЕНИЯ «ЧИНГИЛЬТУЙСКОЕ»</w:t>
      </w:r>
    </w:p>
    <w:p w:rsidR="001C3243" w:rsidRDefault="001C3243" w:rsidP="001C3243">
      <w:pPr>
        <w:spacing w:line="360" w:lineRule="exact"/>
        <w:ind w:left="786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43" w:rsidRDefault="001C3243" w:rsidP="001C3243">
      <w:pPr>
        <w:spacing w:line="360" w:lineRule="exact"/>
        <w:ind w:left="78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2019 года                                                                    №28</w:t>
      </w:r>
    </w:p>
    <w:p w:rsidR="001C3243" w:rsidRDefault="001C3243" w:rsidP="001C3243">
      <w:pPr>
        <w:spacing w:line="36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1C3243" w:rsidRDefault="001C3243" w:rsidP="001C3243">
      <w:pPr>
        <w:spacing w:line="36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– 8</w:t>
      </w: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   -  8</w:t>
      </w: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Приглашена главный бухгалтер ООО Партнёр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Шестакова</w:t>
      </w: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Повестка: 1. О бюджете сельского поселения на 2020 год. 2. О регистрации внесённых изменений в Устав сельского поселения и отправка их на регистрацию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Минюстиции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Забайкальскому краю.</w:t>
      </w:r>
    </w:p>
    <w:p w:rsidR="001C3243" w:rsidRDefault="001C3243" w:rsidP="001C3243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3062" w:rsidRDefault="001C3243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информировала </w:t>
      </w:r>
      <w:r w:rsidR="0096249B">
        <w:rPr>
          <w:rFonts w:ascii="Times New Roman" w:hAnsi="Times New Roman" w:cs="Times New Roman"/>
          <w:sz w:val="28"/>
          <w:szCs w:val="28"/>
        </w:rPr>
        <w:t>Е.А. Шестакова: «Уважаемые депутаты. Вам нужно принять и утвердить бюджет поселения на 2020 год. Бюджет как всегда с дефицитом, рассчитан на восемь месяцев. Цифры и расчёты я до Вас довела».</w:t>
      </w:r>
    </w:p>
    <w:p w:rsidR="0096249B" w:rsidRDefault="0096249B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обсудили проект бюджета и решили принять его в таком виде, как представлен.</w:t>
      </w:r>
    </w:p>
    <w:p w:rsidR="0096249B" w:rsidRDefault="0096249B" w:rsidP="0096249B">
      <w:pPr>
        <w:spacing w:line="360" w:lineRule="exac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– 9; против – 0. Решение принято.</w:t>
      </w:r>
    </w:p>
    <w:p w:rsidR="0096249B" w:rsidRDefault="0096249B" w:rsidP="0096249B">
      <w:pPr>
        <w:spacing w:line="360" w:lineRule="exac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49B" w:rsidRDefault="0096249B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информировал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«Уважаемые депутаты.</w:t>
      </w:r>
      <w:r w:rsidR="00B617C3">
        <w:rPr>
          <w:rFonts w:ascii="Times New Roman" w:hAnsi="Times New Roman" w:cs="Times New Roman"/>
          <w:sz w:val="28"/>
          <w:szCs w:val="28"/>
        </w:rPr>
        <w:t xml:space="preserve"> Нам вновь нужно принять внесённые изменения в Устав сельского поселения «</w:t>
      </w:r>
      <w:proofErr w:type="spellStart"/>
      <w:r w:rsidR="00B617C3">
        <w:rPr>
          <w:rFonts w:ascii="Times New Roman" w:hAnsi="Times New Roman" w:cs="Times New Roman"/>
          <w:sz w:val="28"/>
          <w:szCs w:val="28"/>
        </w:rPr>
        <w:t>Чингильтуское</w:t>
      </w:r>
      <w:proofErr w:type="spellEnd"/>
      <w:r w:rsidR="00B617C3">
        <w:rPr>
          <w:rFonts w:ascii="Times New Roman" w:hAnsi="Times New Roman" w:cs="Times New Roman"/>
          <w:sz w:val="28"/>
          <w:szCs w:val="28"/>
        </w:rPr>
        <w:t>» и направить их на регистрацию в Министерство юстиции по Забайкальскому краю. Прошу высказать свои мнения».</w:t>
      </w:r>
    </w:p>
    <w:p w:rsidR="00B617C3" w:rsidRDefault="00B617C3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обсудили внесённые поправки, решили принять их и утвердить.</w:t>
      </w:r>
    </w:p>
    <w:p w:rsidR="00B617C3" w:rsidRDefault="00B617C3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за – 9; против – 0. Решение  принято.</w:t>
      </w:r>
    </w:p>
    <w:p w:rsidR="00B617C3" w:rsidRDefault="00B617C3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17C3" w:rsidRDefault="00B617C3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</w:p>
    <w:p w:rsidR="00B617C3" w:rsidRPr="00B617C3" w:rsidRDefault="00B617C3" w:rsidP="0096249B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sectPr w:rsidR="00B617C3" w:rsidRPr="00B617C3" w:rsidSect="00E7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CF067B1"/>
    <w:multiLevelType w:val="hybridMultilevel"/>
    <w:tmpl w:val="2F60FB8C"/>
    <w:lvl w:ilvl="0" w:tplc="E7984C0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4F0304"/>
    <w:multiLevelType w:val="hybridMultilevel"/>
    <w:tmpl w:val="BDD64D12"/>
    <w:lvl w:ilvl="0" w:tplc="07ACB12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1E75"/>
    <w:multiLevelType w:val="hybridMultilevel"/>
    <w:tmpl w:val="3AC8798E"/>
    <w:lvl w:ilvl="0" w:tplc="5A3C3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D6780"/>
    <w:multiLevelType w:val="hybridMultilevel"/>
    <w:tmpl w:val="D47066D4"/>
    <w:lvl w:ilvl="0" w:tplc="7332CD4E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40"/>
        </w:tabs>
        <w:ind w:left="14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>
    <w:nsid w:val="7B5A0AD2"/>
    <w:multiLevelType w:val="hybridMultilevel"/>
    <w:tmpl w:val="EF1E0C28"/>
    <w:lvl w:ilvl="0" w:tplc="A8ECF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21C"/>
    <w:rsid w:val="0000789C"/>
    <w:rsid w:val="0001682C"/>
    <w:rsid w:val="001C3243"/>
    <w:rsid w:val="003D421C"/>
    <w:rsid w:val="004452D5"/>
    <w:rsid w:val="00575011"/>
    <w:rsid w:val="008F607D"/>
    <w:rsid w:val="0096249B"/>
    <w:rsid w:val="00B617C3"/>
    <w:rsid w:val="00DD2489"/>
    <w:rsid w:val="00E73062"/>
    <w:rsid w:val="00F3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2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421C"/>
    <w:pPr>
      <w:ind w:left="720"/>
      <w:contextualSpacing/>
    </w:pPr>
  </w:style>
  <w:style w:type="paragraph" w:customStyle="1" w:styleId="ConsPlusNormal">
    <w:name w:val="ConsPlusNormal"/>
    <w:rsid w:val="003D4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User\&#1056;&#1072;&#1073;&#1086;&#1095;&#1080;&#1081;%20&#1089;&#1090;&#1086;&#1083;\&#1050;&#1091;&#1090;&#1077;&#1085;&#1082;&#1086;&#1074;%20&#1052;.&#1048;\&#1055;&#1088;&#1086;&#1090;&#1086;&#1082;&#1086;&#1083;%20&#1086;&#1090;%2002.02.17&#1075;.%20&#1073;&#1102;&#1076;&#1078;&#1077;&#1090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.selskoe.poselenie.chingiltusk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2005-12-31T21:38:00Z</dcterms:created>
  <dcterms:modified xsi:type="dcterms:W3CDTF">2005-12-31T21:42:00Z</dcterms:modified>
</cp:coreProperties>
</file>