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8E" w:rsidRDefault="00911F8E" w:rsidP="00911F8E">
      <w:pPr>
        <w:jc w:val="center"/>
        <w:rPr>
          <w:sz w:val="20"/>
          <w:szCs w:val="20"/>
        </w:rPr>
      </w:pPr>
    </w:p>
    <w:p w:rsidR="004C5C8B" w:rsidRPr="00E554B5" w:rsidRDefault="004C5C8B" w:rsidP="00E554B5">
      <w:pPr>
        <w:jc w:val="both"/>
        <w:rPr>
          <w:b/>
          <w:color w:val="0070C0"/>
          <w:sz w:val="28"/>
          <w:szCs w:val="28"/>
        </w:rPr>
      </w:pPr>
      <w:r w:rsidRPr="00E554B5">
        <w:rPr>
          <w:b/>
          <w:color w:val="0070C0"/>
          <w:sz w:val="28"/>
          <w:szCs w:val="28"/>
        </w:rPr>
        <w:t>Информация</w:t>
      </w:r>
      <w:r w:rsidRPr="00E554B5">
        <w:rPr>
          <w:rFonts w:eastAsia="Calibri"/>
          <w:b/>
          <w:color w:val="0070C0"/>
          <w:sz w:val="28"/>
          <w:szCs w:val="28"/>
          <w:lang w:eastAsia="en-US"/>
        </w:rPr>
        <w:t xml:space="preserve"> о результатах аудита в сфере закупок</w:t>
      </w:r>
    </w:p>
    <w:p w:rsidR="004C5C8B" w:rsidRDefault="004C5C8B" w:rsidP="00911F8E">
      <w:pPr>
        <w:jc w:val="both"/>
        <w:rPr>
          <w:b/>
          <w:sz w:val="28"/>
          <w:szCs w:val="28"/>
        </w:rPr>
      </w:pPr>
    </w:p>
    <w:p w:rsidR="004C5C8B" w:rsidRPr="003A3973" w:rsidRDefault="004C5C8B" w:rsidP="00911F8E">
      <w:pPr>
        <w:jc w:val="both"/>
      </w:pPr>
      <w:r w:rsidRPr="003A3973">
        <w:t xml:space="preserve">             В соответствии с частью 2 статьи 98 Закона № 44-ФЗ «О контрактной системе в сфере закупок товаров, работ, услуг для обеспечения государственных и муниципальных нужд» (далее – Закон № 44-ФЗ) контрольно-счетные органы осуществляют анализ и оценку результатов закупок, достижения целей осуществления закупок. Для достижения данных целей органы аудита в сфере закупок осуществляют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как по заключенным и исполненным контрактам, так и  по планируемым закупкам. </w:t>
      </w:r>
    </w:p>
    <w:p w:rsidR="004C5C8B" w:rsidRPr="003A3973" w:rsidRDefault="004C5C8B" w:rsidP="00911F8E">
      <w:pPr>
        <w:jc w:val="both"/>
      </w:pPr>
      <w:r w:rsidRPr="003A3973">
        <w:t xml:space="preserve">             Во втором полугодии 2015 года Контрольно-счетной палатой муниципального района «</w:t>
      </w:r>
      <w:proofErr w:type="spellStart"/>
      <w:r w:rsidRPr="003A3973">
        <w:t>Оловяннинский</w:t>
      </w:r>
      <w:proofErr w:type="spellEnd"/>
      <w:r w:rsidRPr="003A3973">
        <w:t xml:space="preserve"> район» проведено 1 экспертно-аналитическое мероприятие, направленное на проведение аудита планирования закупок, предметом которого являлся анализ формирования и размещения заказчиками муниципального района «</w:t>
      </w:r>
      <w:proofErr w:type="spellStart"/>
      <w:r w:rsidRPr="003A3973">
        <w:t>Оловяннинский</w:t>
      </w:r>
      <w:proofErr w:type="spellEnd"/>
      <w:r w:rsidRPr="003A3973">
        <w:t xml:space="preserve"> район» планов-графиков закупок на 2015 год.</w:t>
      </w:r>
      <w:r w:rsidR="00050FAC" w:rsidRPr="003A3973">
        <w:t xml:space="preserve"> </w:t>
      </w:r>
      <w:r w:rsidR="00FA3E89" w:rsidRPr="003A3973">
        <w:t>Заказчиками</w:t>
      </w:r>
      <w:r w:rsidR="00F627B2" w:rsidRPr="003A3973">
        <w:t xml:space="preserve"> муниципального района «</w:t>
      </w:r>
      <w:proofErr w:type="spellStart"/>
      <w:r w:rsidR="00F627B2" w:rsidRPr="003A3973">
        <w:t>Оловяннинский</w:t>
      </w:r>
      <w:proofErr w:type="spellEnd"/>
      <w:r w:rsidR="00F627B2" w:rsidRPr="003A3973">
        <w:t xml:space="preserve"> район» </w:t>
      </w:r>
      <w:r w:rsidR="00FA3E89" w:rsidRPr="003A3973">
        <w:t xml:space="preserve"> в соответствии с требованиями норм Закона №44-ФЗ в 2015 году являлись 47 учреждений, из которых </w:t>
      </w:r>
      <w:r w:rsidR="00481662" w:rsidRPr="003A3973">
        <w:t xml:space="preserve"> </w:t>
      </w:r>
      <w:r w:rsidR="00FA3E89" w:rsidRPr="003A3973">
        <w:t>7 казенных и 40 бюджетных учреждений.</w:t>
      </w:r>
    </w:p>
    <w:p w:rsidR="006C090D" w:rsidRPr="003A3973" w:rsidRDefault="00AA6151" w:rsidP="006C090D">
      <w:pPr>
        <w:jc w:val="both"/>
      </w:pPr>
      <w:r w:rsidRPr="003A3973">
        <w:t xml:space="preserve">             </w:t>
      </w:r>
      <w:r w:rsidR="006C090D" w:rsidRPr="003A3973">
        <w:t>В ходе проведенного аудита</w:t>
      </w:r>
      <w:r w:rsidR="0058179A" w:rsidRPr="003A3973">
        <w:t xml:space="preserve"> планирования закупок</w:t>
      </w:r>
      <w:r w:rsidR="006C090D" w:rsidRPr="003A3973">
        <w:t xml:space="preserve"> установлено следующее. </w:t>
      </w:r>
    </w:p>
    <w:p w:rsidR="00C91249" w:rsidRPr="003A3973" w:rsidRDefault="00481662" w:rsidP="006C090D">
      <w:pPr>
        <w:pStyle w:val="a3"/>
        <w:numPr>
          <w:ilvl w:val="0"/>
          <w:numId w:val="11"/>
        </w:numPr>
        <w:jc w:val="both"/>
      </w:pPr>
      <w:proofErr w:type="gramStart"/>
      <w:r w:rsidRPr="003A3973">
        <w:t>С нарушением сроков, установленных пунктом 2 Приказа Минэкономразвития России № 544, Казначейства России № 18н от 20.09.2013 г. «Об особенностях размещения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="002C0D14" w:rsidRPr="003A3973">
        <w:t xml:space="preserve"> (далее – Особенности)</w:t>
      </w:r>
      <w:r w:rsidRPr="003A3973">
        <w:t xml:space="preserve">, разместили планы-графики </w:t>
      </w:r>
      <w:r w:rsidR="00554CD7" w:rsidRPr="003A3973">
        <w:t>4</w:t>
      </w:r>
      <w:r w:rsidR="00C91249" w:rsidRPr="003A3973">
        <w:t>3</w:t>
      </w:r>
      <w:r w:rsidRPr="003A3973">
        <w:t xml:space="preserve"> заказчик</w:t>
      </w:r>
      <w:r w:rsidR="00554CD7" w:rsidRPr="003A3973">
        <w:t>а</w:t>
      </w:r>
      <w:r w:rsidRPr="003A3973">
        <w:t xml:space="preserve">, </w:t>
      </w:r>
      <w:r w:rsidR="00554CD7" w:rsidRPr="003A3973">
        <w:t xml:space="preserve">из которых </w:t>
      </w:r>
      <w:r w:rsidR="00C91249" w:rsidRPr="003A3973">
        <w:t>7</w:t>
      </w:r>
      <w:r w:rsidR="00554CD7" w:rsidRPr="003A3973">
        <w:t xml:space="preserve"> заказчиков исполнили</w:t>
      </w:r>
      <w:proofErr w:type="gramEnd"/>
      <w:r w:rsidR="00554CD7" w:rsidRPr="003A3973">
        <w:t xml:space="preserve"> обязанность по размещению планов-графиков после проведения  </w:t>
      </w:r>
      <w:r w:rsidR="00C91249" w:rsidRPr="003A3973">
        <w:t>указанного мероприятия.</w:t>
      </w:r>
    </w:p>
    <w:p w:rsidR="004C5C8B" w:rsidRPr="003A3973" w:rsidRDefault="00481662" w:rsidP="00C91249">
      <w:pPr>
        <w:pStyle w:val="a3"/>
        <w:numPr>
          <w:ilvl w:val="0"/>
          <w:numId w:val="9"/>
        </w:numPr>
        <w:jc w:val="both"/>
      </w:pPr>
      <w:r w:rsidRPr="003A3973">
        <w:t xml:space="preserve"> </w:t>
      </w:r>
      <w:proofErr w:type="gramStart"/>
      <w:r w:rsidR="00C91249" w:rsidRPr="003A3973">
        <w:t>Семь заказчиков при формировании планов-графиков использовали форму, не соответствующую требованиям Приказа Минэкономразвития России №761 и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  <w:r w:rsidR="002C0D14" w:rsidRPr="003A3973">
        <w:t xml:space="preserve"> (далее – Приказ №761/20н)</w:t>
      </w:r>
      <w:r w:rsidR="00C91249" w:rsidRPr="003A3973">
        <w:t>.</w:t>
      </w:r>
      <w:proofErr w:type="gramEnd"/>
    </w:p>
    <w:p w:rsidR="00C91249" w:rsidRPr="003A3973" w:rsidRDefault="002C0D14" w:rsidP="00C91249">
      <w:pPr>
        <w:pStyle w:val="a3"/>
        <w:numPr>
          <w:ilvl w:val="0"/>
          <w:numId w:val="9"/>
        </w:numPr>
        <w:jc w:val="both"/>
      </w:pPr>
      <w:r w:rsidRPr="003A3973">
        <w:t xml:space="preserve">Установлены случаи несоблюдения требований действующего законодательства при внесении изменений в планы-графики: </w:t>
      </w:r>
    </w:p>
    <w:p w:rsidR="002C0D14" w:rsidRPr="003A3973" w:rsidRDefault="002C0D14" w:rsidP="002C0D14">
      <w:pPr>
        <w:jc w:val="both"/>
      </w:pPr>
      <w:r w:rsidRPr="003A3973">
        <w:t xml:space="preserve">             -  в нарушение  требований п.15 Приказа №761/20н при изменении более чем на 10% стоимости планируемых к приобретению товаров, сроков их приобретения, а также способа размещения заказа отдельными заказчиками не были внесены уточнения в первоначальную версию плана-графика;</w:t>
      </w:r>
    </w:p>
    <w:p w:rsidR="002C0D14" w:rsidRPr="003A3973" w:rsidRDefault="002C0D14" w:rsidP="002C0D14">
      <w:pPr>
        <w:jc w:val="both"/>
      </w:pPr>
      <w:r w:rsidRPr="003A3973">
        <w:t xml:space="preserve">             - в невыполнение  требований п.п.2 п.5 Особенностей в отдельных случаях при внесении изменений в план-график в части включения новых закупок не указывались обоснования внесения изменений;</w:t>
      </w:r>
    </w:p>
    <w:p w:rsidR="002C0D14" w:rsidRPr="003A3973" w:rsidRDefault="002C0D14" w:rsidP="002C0D14">
      <w:pPr>
        <w:jc w:val="both"/>
      </w:pPr>
      <w:r w:rsidRPr="003A3973">
        <w:t xml:space="preserve">             - в невыполнении требований п.6 Особенностей в отдельных случаях не соблюдались установленные сроки внесения изменений в план-график</w:t>
      </w:r>
      <w:r w:rsidR="00F627B2" w:rsidRPr="003A3973">
        <w:t xml:space="preserve"> в разрезе включенных закупок</w:t>
      </w:r>
      <w:r w:rsidRPr="003A3973">
        <w:t>.</w:t>
      </w:r>
    </w:p>
    <w:p w:rsidR="002C0D14" w:rsidRPr="003A3973" w:rsidRDefault="00F627B2" w:rsidP="00E554B5">
      <w:pPr>
        <w:pStyle w:val="a3"/>
        <w:numPr>
          <w:ilvl w:val="0"/>
          <w:numId w:val="10"/>
        </w:numPr>
        <w:ind w:firstLine="907"/>
        <w:jc w:val="both"/>
      </w:pPr>
      <w:r w:rsidRPr="003A3973">
        <w:t>В большинстве случаев при формировании планов-графиков заказчиками не соблюдались требования п.5 Особенностей, в том числе:</w:t>
      </w:r>
    </w:p>
    <w:p w:rsidR="003C3264" w:rsidRPr="003A3973" w:rsidRDefault="003C3264" w:rsidP="003C3264">
      <w:pPr>
        <w:pStyle w:val="a3"/>
        <w:numPr>
          <w:ilvl w:val="0"/>
          <w:numId w:val="5"/>
        </w:numPr>
        <w:jc w:val="both"/>
      </w:pPr>
      <w:r w:rsidRPr="003A3973">
        <w:t xml:space="preserve"> в планах-графиках не заполнены данные о заказчике: наименование, адрес, ИНН, КПП, по строке «ОКАТО» не производится замена кода ОКАТО на код ОКТМО;</w:t>
      </w:r>
    </w:p>
    <w:p w:rsidR="003C3264" w:rsidRPr="003A3973" w:rsidRDefault="003C3264" w:rsidP="003C3264">
      <w:pPr>
        <w:pStyle w:val="a3"/>
        <w:numPr>
          <w:ilvl w:val="0"/>
          <w:numId w:val="6"/>
        </w:numPr>
        <w:jc w:val="both"/>
      </w:pPr>
      <w:r w:rsidRPr="003A3973">
        <w:lastRenderedPageBreak/>
        <w:t>в столбце 1 плана-графика указан только код КОСГУ вместо требуемого кода бюджетной классификации РФ с детализацией кода видов расходов и кодов КОСГУ;</w:t>
      </w:r>
    </w:p>
    <w:p w:rsidR="003C3264" w:rsidRPr="003A3973" w:rsidRDefault="00090708" w:rsidP="003C3264">
      <w:pPr>
        <w:numPr>
          <w:ilvl w:val="0"/>
          <w:numId w:val="4"/>
        </w:numPr>
        <w:jc w:val="both"/>
      </w:pPr>
      <w:r w:rsidRPr="003A3973">
        <w:t>заказчиками</w:t>
      </w:r>
      <w:r w:rsidR="003C3264" w:rsidRPr="003A3973">
        <w:t xml:space="preserve">  </w:t>
      </w:r>
      <w:r w:rsidRPr="003A3973">
        <w:t>не заполнены</w:t>
      </w:r>
      <w:r w:rsidR="003C3264" w:rsidRPr="003A3973">
        <w:t xml:space="preserve"> отдельны</w:t>
      </w:r>
      <w:r w:rsidRPr="003A3973">
        <w:t>е</w:t>
      </w:r>
      <w:r w:rsidR="003C3264" w:rsidRPr="003A3973">
        <w:t xml:space="preserve"> столбц</w:t>
      </w:r>
      <w:r w:rsidRPr="003A3973">
        <w:t>ы</w:t>
      </w:r>
      <w:r w:rsidR="003C3264" w:rsidRPr="003A3973">
        <w:t xml:space="preserve">, где следует отражать информацию о кодах ОКВЭД и  ОКПД,  нумерации заказов, количестве планируемых закупок, о сроках размещения заказа и исполнения контракта, о способе размещения заказа (столбцы 2, 3, 4, 8, 11, 12, 13), </w:t>
      </w:r>
      <w:r w:rsidRPr="003A3973">
        <w:t xml:space="preserve">в результате отсутствует </w:t>
      </w:r>
      <w:r w:rsidR="003C3264" w:rsidRPr="003A3973">
        <w:t xml:space="preserve"> полн</w:t>
      </w:r>
      <w:r w:rsidRPr="003A3973">
        <w:t>ая  информация</w:t>
      </w:r>
      <w:r w:rsidR="003C3264" w:rsidRPr="003A3973">
        <w:t xml:space="preserve"> о закупках;</w:t>
      </w:r>
    </w:p>
    <w:p w:rsidR="003C3264" w:rsidRPr="003A3973" w:rsidRDefault="003C3264" w:rsidP="003C3264">
      <w:pPr>
        <w:pStyle w:val="a3"/>
        <w:numPr>
          <w:ilvl w:val="0"/>
          <w:numId w:val="6"/>
        </w:numPr>
        <w:jc w:val="both"/>
      </w:pPr>
      <w:r w:rsidRPr="003A3973">
        <w:t xml:space="preserve">в отдельных случаях  заказчиками начальная максимальная цена контракта (далее – НМЦК) указана в рублях, тогда как согласно требованиям абзаца и) подпункта 2 пункта 5 Особенностей  НМЦК должна отражаться в тысячах рублей. Несоблюдение единиц измерения приводит к недостоверной информации об объемах закупок, планируемых заказчиками;             </w:t>
      </w:r>
    </w:p>
    <w:p w:rsidR="003C3264" w:rsidRPr="003A3973" w:rsidRDefault="00090708" w:rsidP="00090708">
      <w:pPr>
        <w:pStyle w:val="a3"/>
        <w:numPr>
          <w:ilvl w:val="0"/>
          <w:numId w:val="6"/>
        </w:numPr>
        <w:jc w:val="both"/>
      </w:pPr>
      <w:r w:rsidRPr="003A3973">
        <w:t xml:space="preserve">при планировании закупок путем проведения электронного аукциона в столбце 10 плана-графика  не указана информация о размере обеспечения заявки  и  обеспечения исполнения контракта  в тысячах рублях, а также  размере аванса </w:t>
      </w:r>
      <w:proofErr w:type="gramStart"/>
      <w:r w:rsidRPr="003A3973">
        <w:t>в</w:t>
      </w:r>
      <w:proofErr w:type="gramEnd"/>
      <w:r w:rsidRPr="003A3973">
        <w:t xml:space="preserve"> % (</w:t>
      </w:r>
      <w:proofErr w:type="gramStart"/>
      <w:r w:rsidRPr="003A3973">
        <w:t>в</w:t>
      </w:r>
      <w:proofErr w:type="gramEnd"/>
      <w:r w:rsidRPr="003A3973">
        <w:t xml:space="preserve"> случае его предоставления);</w:t>
      </w:r>
    </w:p>
    <w:p w:rsidR="003C3264" w:rsidRPr="003A3973" w:rsidRDefault="003C3264" w:rsidP="00090708">
      <w:pPr>
        <w:pStyle w:val="a3"/>
        <w:numPr>
          <w:ilvl w:val="0"/>
          <w:numId w:val="6"/>
        </w:numPr>
        <w:jc w:val="both"/>
      </w:pPr>
      <w:r w:rsidRPr="003A3973">
        <w:t>установлен случай включения в план-график сведений о закупке, по которой заключение договора и его исполнение произведено в 2014 году</w:t>
      </w:r>
      <w:r w:rsidR="00090708" w:rsidRPr="003A3973">
        <w:t xml:space="preserve">, что в силу требований п.16 ст.3 Закона №44-ФЗ должно включаться в совокупный годовой объем закупок; </w:t>
      </w:r>
    </w:p>
    <w:p w:rsidR="003C3264" w:rsidRPr="003A3973" w:rsidRDefault="003C3264" w:rsidP="003C3264">
      <w:pPr>
        <w:pStyle w:val="a3"/>
        <w:numPr>
          <w:ilvl w:val="0"/>
          <w:numId w:val="6"/>
        </w:numPr>
        <w:jc w:val="both"/>
      </w:pPr>
      <w:r w:rsidRPr="003A3973">
        <w:t>в большинстве случаев все закупки, планируемые  у единственного поставщика в соответствии с  п. 4,  5 ч.1 ст. 93 Закона № 44-ФЗ (на сумму, не превышающую ста тысяч рублей и четырехсот тысяч рублей) отражены построчно (с расшифровкой каждой закупки), без суммирования по КБК, что нарушает требование  подпункта 4) пункта 5 Особенностей.  Некорректное заполнение плана-графика прив</w:t>
      </w:r>
      <w:r w:rsidR="007E3B32" w:rsidRPr="003A3973">
        <w:t>ело</w:t>
      </w:r>
      <w:r w:rsidRPr="003A3973">
        <w:t xml:space="preserve"> к многочисленным нарушениям, включая несоблюдение предельного размера закупки у единственного поставщика, осуществляемой по указанным основаниям и как следствие применение неверного способа определения поставщика;  </w:t>
      </w:r>
    </w:p>
    <w:p w:rsidR="00090708" w:rsidRPr="003A3973" w:rsidRDefault="003C3264" w:rsidP="00090708">
      <w:pPr>
        <w:pStyle w:val="a3"/>
        <w:numPr>
          <w:ilvl w:val="0"/>
          <w:numId w:val="6"/>
        </w:numPr>
        <w:jc w:val="both"/>
      </w:pPr>
      <w:r w:rsidRPr="003A3973">
        <w:t>допущены нарушения при заполнении итоговых позиций, предусмотренных подпунктом 5) пун</w:t>
      </w:r>
      <w:r w:rsidR="00090708" w:rsidRPr="003A3973">
        <w:t>кта 5 Особенностей, в том числе:</w:t>
      </w:r>
    </w:p>
    <w:p w:rsidR="003C3264" w:rsidRPr="003A3973" w:rsidRDefault="00090708" w:rsidP="00090708">
      <w:pPr>
        <w:ind w:left="60"/>
        <w:jc w:val="both"/>
      </w:pPr>
      <w:r w:rsidRPr="003A3973">
        <w:t xml:space="preserve">              </w:t>
      </w:r>
      <w:r w:rsidR="003C3264" w:rsidRPr="003A3973">
        <w:t xml:space="preserve">  - при отсутствии в перечне закупок плана-графика закупок, осуществляемых у субъектов малого предпринимательства, социально ориентированных некоммерческих организаций или путем проведения запроса котировок указан их годовой объем; </w:t>
      </w:r>
    </w:p>
    <w:p w:rsidR="003C3264" w:rsidRPr="003A3973" w:rsidRDefault="00090708" w:rsidP="00090708">
      <w:pPr>
        <w:jc w:val="both"/>
      </w:pPr>
      <w:r w:rsidRPr="003A3973">
        <w:t xml:space="preserve">             </w:t>
      </w:r>
      <w:r w:rsidR="003C3264" w:rsidRPr="003A3973">
        <w:t xml:space="preserve">    - при наличии в  перечне закупок плана-графика закупок, осуществляемых  у единственного поставщика в соответствии с п.п. 4 и 5 ч. 1 ст.93 Закона №44-ФЗ  отсутствует информация о</w:t>
      </w:r>
      <w:r w:rsidR="00BE4AA1" w:rsidRPr="003A3973">
        <w:t>б их годовом объеме</w:t>
      </w:r>
      <w:r w:rsidR="003C3264" w:rsidRPr="003A3973">
        <w:t>;</w:t>
      </w:r>
    </w:p>
    <w:p w:rsidR="00F627B2" w:rsidRPr="003A3973" w:rsidRDefault="00090708" w:rsidP="00BE4AA1">
      <w:pPr>
        <w:jc w:val="both"/>
      </w:pPr>
      <w:r w:rsidRPr="003A3973">
        <w:t xml:space="preserve">            </w:t>
      </w:r>
      <w:r w:rsidR="003C3264" w:rsidRPr="003A3973">
        <w:t xml:space="preserve">      - при  отражении  годового объема закупок заказчиками не указывается  через символ «/» совокупный годовой объем закупок, определяемый в соответствии с требо</w:t>
      </w:r>
      <w:r w:rsidR="00BE4AA1" w:rsidRPr="003A3973">
        <w:t>ваниями п.16 ст.3 Закона №44-ФЗ.</w:t>
      </w:r>
    </w:p>
    <w:p w:rsidR="00BE4AA1" w:rsidRPr="003A3973" w:rsidRDefault="00BE4AA1" w:rsidP="00025C9F">
      <w:pPr>
        <w:pStyle w:val="a3"/>
        <w:numPr>
          <w:ilvl w:val="0"/>
          <w:numId w:val="12"/>
        </w:numPr>
        <w:ind w:firstLine="907"/>
        <w:jc w:val="both"/>
      </w:pPr>
      <w:r w:rsidRPr="003A3973">
        <w:t xml:space="preserve"> В невыполнении требований  </w:t>
      </w:r>
      <w:proofErr w:type="gramStart"/>
      <w:r w:rsidRPr="003A3973">
        <w:t>ч</w:t>
      </w:r>
      <w:proofErr w:type="gramEnd"/>
      <w:r w:rsidRPr="003A3973">
        <w:t>. 1 ст. 30 Закона №44-ФЗ в планы-графики отдельных  заказчиков не включена информация по осуществлению закупок у субъектов малого предпринимательства, социально ориентированных некоммерческих организаций.</w:t>
      </w:r>
    </w:p>
    <w:p w:rsidR="00B247A4" w:rsidRPr="003A3973" w:rsidRDefault="00DC3EDD" w:rsidP="00025C9F">
      <w:pPr>
        <w:pStyle w:val="a3"/>
        <w:numPr>
          <w:ilvl w:val="0"/>
          <w:numId w:val="12"/>
        </w:numPr>
        <w:ind w:firstLine="907"/>
        <w:jc w:val="both"/>
      </w:pPr>
      <w:r w:rsidRPr="003A3973">
        <w:t xml:space="preserve">  В большинстве планов-графиков указ</w:t>
      </w:r>
      <w:r w:rsidR="00B247A4" w:rsidRPr="003A3973">
        <w:t>аны</w:t>
      </w:r>
      <w:r w:rsidRPr="003A3973">
        <w:t xml:space="preserve"> обобщенные наименования предмета контракта, отсутствуют минимально необходимые требования  и количественные показатели, что в совокупности  не дает объективного представления о закупке, возможности потенциальным участникам  закупки  определения затрат за выполнение контракта. Размытость и некорректность формулировок в ряде случаев не позволяют определить вид товаров (работ, услуг), подлежащих закупке, в результате не обеспечивается прозрачность закупок</w:t>
      </w:r>
      <w:r w:rsidR="00B247A4" w:rsidRPr="003A3973">
        <w:t xml:space="preserve"> (о</w:t>
      </w:r>
      <w:r w:rsidRPr="003A3973">
        <w:t>тдельными заказчиками предмет контракта сформулирован как «материальные запасы», «программное обеспечение», «предоставление услуг», «продукты питания»</w:t>
      </w:r>
      <w:r w:rsidR="00B247A4" w:rsidRPr="003A3973">
        <w:t>).</w:t>
      </w:r>
      <w:r w:rsidRPr="003A3973">
        <w:t xml:space="preserve"> </w:t>
      </w:r>
      <w:r w:rsidR="00B247A4" w:rsidRPr="003A3973">
        <w:t>Также</w:t>
      </w:r>
      <w:r w:rsidRPr="003A3973">
        <w:t xml:space="preserve"> отсутствие количественных показателей закупки</w:t>
      </w:r>
      <w:r w:rsidR="00B247A4" w:rsidRPr="003A3973">
        <w:t xml:space="preserve"> или </w:t>
      </w:r>
      <w:r w:rsidRPr="003A3973">
        <w:t xml:space="preserve"> некорректное их определение   не позволяет судить об уровне цен  за единицу товара (работы, услуги), сделать вывод об их обоснованности</w:t>
      </w:r>
      <w:r w:rsidR="00B247A4" w:rsidRPr="003A3973">
        <w:t xml:space="preserve"> (н</w:t>
      </w:r>
      <w:r w:rsidRPr="003A3973">
        <w:t>апример</w:t>
      </w:r>
      <w:r w:rsidR="00B247A4" w:rsidRPr="003A3973">
        <w:t xml:space="preserve">, </w:t>
      </w:r>
      <w:r w:rsidR="00B247A4" w:rsidRPr="003A3973">
        <w:lastRenderedPageBreak/>
        <w:t xml:space="preserve">планируется закупить </w:t>
      </w:r>
      <w:r w:rsidRPr="003A3973">
        <w:t>учебники в количестве 1 условной единицы на сумму 350,0 тыс</w:t>
      </w:r>
      <w:proofErr w:type="gramStart"/>
      <w:r w:rsidRPr="003A3973">
        <w:t>.р</w:t>
      </w:r>
      <w:proofErr w:type="gramEnd"/>
      <w:r w:rsidRPr="003A3973">
        <w:t>уб.</w:t>
      </w:r>
      <w:r w:rsidR="00B247A4" w:rsidRPr="003A3973">
        <w:t>).</w:t>
      </w:r>
    </w:p>
    <w:p w:rsidR="00B247A4" w:rsidRPr="003A3973" w:rsidRDefault="00DC3EDD" w:rsidP="00DC3EDD">
      <w:pPr>
        <w:pStyle w:val="a3"/>
        <w:numPr>
          <w:ilvl w:val="0"/>
          <w:numId w:val="7"/>
        </w:numPr>
        <w:jc w:val="both"/>
      </w:pPr>
      <w:r w:rsidRPr="003A3973">
        <w:t xml:space="preserve">    Отдельными заказчикам</w:t>
      </w:r>
      <w:r w:rsidR="00B247A4" w:rsidRPr="003A3973">
        <w:t>и в планы-графики закупок включены</w:t>
      </w:r>
      <w:r w:rsidRPr="003A3973">
        <w:t xml:space="preserve"> сведения, которые не имеют отношения к закупочной деятельности, а именно</w:t>
      </w:r>
      <w:r w:rsidR="00B247A4" w:rsidRPr="003A3973">
        <w:t xml:space="preserve"> налоги, командировочные расходы</w:t>
      </w:r>
      <w:r w:rsidRPr="003A3973">
        <w:t xml:space="preserve">. </w:t>
      </w:r>
    </w:p>
    <w:p w:rsidR="00B247A4" w:rsidRPr="003A3973" w:rsidRDefault="005D4094" w:rsidP="005D4094">
      <w:pPr>
        <w:numPr>
          <w:ilvl w:val="0"/>
          <w:numId w:val="7"/>
        </w:numPr>
        <w:jc w:val="both"/>
      </w:pPr>
      <w:r w:rsidRPr="003A3973">
        <w:t xml:space="preserve">В отдельных случаях при формировании плана-графика закупок не учитываются доведенные объемы финансирования на осуществление закупок, в результате итоговые показатели закупок  превышают доведенные показатели финансового обеспечения, либо закупки отражаются не в полном объеме. </w:t>
      </w:r>
    </w:p>
    <w:p w:rsidR="002D4C9C" w:rsidRPr="003A3973" w:rsidRDefault="00BE4137" w:rsidP="00911F8E">
      <w:pPr>
        <w:ind w:firstLine="708"/>
        <w:jc w:val="both"/>
      </w:pPr>
      <w:r w:rsidRPr="003A3973">
        <w:t xml:space="preserve">     </w:t>
      </w:r>
      <w:r w:rsidR="002D4C9C" w:rsidRPr="003A3973">
        <w:t>Основными причинами выявленных нарушений, по мнению Контрольно-счетной палаты, являются низкий уровень исполнительской дисциплины, несоблюдение требований законодательства в сфере закупок, недостаточная квалификация  специалистов, занятых в сфере закупок, а также недостаток методического обеспечения.</w:t>
      </w:r>
    </w:p>
    <w:p w:rsidR="00937E58" w:rsidRPr="003A3973" w:rsidRDefault="00F91AE5" w:rsidP="00911F8E">
      <w:pPr>
        <w:ind w:firstLine="708"/>
        <w:jc w:val="both"/>
      </w:pPr>
      <w:r w:rsidRPr="003A3973">
        <w:t xml:space="preserve">    Информация о результатах анализа формирования и размещения планов-графиков была доведена до  главных распорядителей бюджетных средств, имеющих подведомственные учреждения с целью устранения отмеченных нарушений и недопущения их в дальнейшем. </w:t>
      </w:r>
      <w:r w:rsidR="00937E58" w:rsidRPr="003A3973">
        <w:t>З</w:t>
      </w:r>
      <w:r w:rsidRPr="003A3973">
        <w:t>аказчиками</w:t>
      </w:r>
      <w:r w:rsidR="00937E58" w:rsidRPr="003A3973">
        <w:t xml:space="preserve">, у которых не были размещены планы-графики, </w:t>
      </w:r>
      <w:r w:rsidRPr="003A3973">
        <w:t xml:space="preserve"> приняты меры по </w:t>
      </w:r>
      <w:r w:rsidR="00937E58" w:rsidRPr="003A3973">
        <w:t xml:space="preserve">их </w:t>
      </w:r>
      <w:r w:rsidR="008355AC" w:rsidRPr="003A3973">
        <w:t>размещению</w:t>
      </w:r>
      <w:r w:rsidR="00937E58" w:rsidRPr="003A3973">
        <w:t xml:space="preserve"> на официальном сайте. </w:t>
      </w:r>
      <w:r w:rsidR="008355AC" w:rsidRPr="003A3973">
        <w:t xml:space="preserve"> </w:t>
      </w:r>
    </w:p>
    <w:p w:rsidR="00025C9F" w:rsidRPr="003A3973" w:rsidRDefault="00937E58" w:rsidP="00937E58">
      <w:pPr>
        <w:ind w:firstLine="708"/>
        <w:jc w:val="both"/>
      </w:pPr>
      <w:r w:rsidRPr="003A3973">
        <w:t xml:space="preserve">    Также, Контрольно-счетной палатой муниципального района «</w:t>
      </w:r>
      <w:proofErr w:type="spellStart"/>
      <w:r w:rsidRPr="003A3973">
        <w:t>Оловяннинский</w:t>
      </w:r>
      <w:proofErr w:type="spellEnd"/>
      <w:r w:rsidRPr="003A3973">
        <w:t xml:space="preserve"> район», выявленные нарушения при формировании и размещении планов-графиков закупок на 2015 год, </w:t>
      </w:r>
      <w:r w:rsidR="00025C9F" w:rsidRPr="003A3973">
        <w:t>доведены до сведения руководителя Администрацию муниципального района «</w:t>
      </w:r>
      <w:proofErr w:type="spellStart"/>
      <w:r w:rsidR="00025C9F" w:rsidRPr="003A3973">
        <w:t>Оловяннинский</w:t>
      </w:r>
      <w:proofErr w:type="spellEnd"/>
      <w:r w:rsidR="00025C9F" w:rsidRPr="003A3973">
        <w:t xml:space="preserve"> район».</w:t>
      </w:r>
    </w:p>
    <w:p w:rsidR="00937E58" w:rsidRPr="003A3973" w:rsidRDefault="00937E58" w:rsidP="00937E58">
      <w:pPr>
        <w:ind w:firstLine="708"/>
        <w:jc w:val="both"/>
      </w:pPr>
      <w:r w:rsidRPr="003A3973">
        <w:t xml:space="preserve"> </w:t>
      </w:r>
    </w:p>
    <w:p w:rsidR="003A3973" w:rsidRDefault="003A3973" w:rsidP="00937E58">
      <w:pPr>
        <w:ind w:firstLine="708"/>
        <w:jc w:val="both"/>
        <w:rPr>
          <w:sz w:val="28"/>
          <w:szCs w:val="28"/>
        </w:rPr>
      </w:pPr>
    </w:p>
    <w:p w:rsidR="00937E58" w:rsidRDefault="00937E58" w:rsidP="00937E58">
      <w:pPr>
        <w:ind w:firstLine="708"/>
        <w:jc w:val="both"/>
        <w:rPr>
          <w:sz w:val="28"/>
          <w:szCs w:val="28"/>
        </w:rPr>
      </w:pPr>
    </w:p>
    <w:p w:rsidR="00937E58" w:rsidRDefault="00937E58" w:rsidP="00911F8E">
      <w:pPr>
        <w:ind w:firstLine="708"/>
        <w:jc w:val="both"/>
        <w:rPr>
          <w:sz w:val="28"/>
          <w:szCs w:val="28"/>
        </w:rPr>
      </w:pPr>
    </w:p>
    <w:p w:rsidR="00B90F77" w:rsidRDefault="00B90F77" w:rsidP="00481662"/>
    <w:sectPr w:rsidR="00B90F77" w:rsidSect="001F5740">
      <w:footerReference w:type="default" r:id="rId8"/>
      <w:footnotePr>
        <w:pos w:val="beneathText"/>
      </w:footnotePr>
      <w:pgSz w:w="11906" w:h="16838"/>
      <w:pgMar w:top="73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AF" w:rsidRDefault="00D852AF" w:rsidP="00432B1F">
      <w:r>
        <w:separator/>
      </w:r>
    </w:p>
  </w:endnote>
  <w:endnote w:type="continuationSeparator" w:id="0">
    <w:p w:rsidR="00D852AF" w:rsidRDefault="00D852AF" w:rsidP="0043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870600"/>
    </w:sdtPr>
    <w:sdtContent>
      <w:p w:rsidR="00432B1F" w:rsidRDefault="00627542">
        <w:pPr>
          <w:pStyle w:val="a6"/>
          <w:jc w:val="right"/>
        </w:pPr>
        <w:r>
          <w:fldChar w:fldCharType="begin"/>
        </w:r>
        <w:r w:rsidR="00432B1F">
          <w:instrText>PAGE   \* MERGEFORMAT</w:instrText>
        </w:r>
        <w:r>
          <w:fldChar w:fldCharType="separate"/>
        </w:r>
        <w:r w:rsidR="00EC63CE">
          <w:rPr>
            <w:noProof/>
          </w:rPr>
          <w:t>2</w:t>
        </w:r>
        <w:r>
          <w:fldChar w:fldCharType="end"/>
        </w:r>
      </w:p>
    </w:sdtContent>
  </w:sdt>
  <w:p w:rsidR="00432B1F" w:rsidRDefault="00432B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AF" w:rsidRDefault="00D852AF" w:rsidP="00432B1F">
      <w:r>
        <w:separator/>
      </w:r>
    </w:p>
  </w:footnote>
  <w:footnote w:type="continuationSeparator" w:id="0">
    <w:p w:rsidR="00D852AF" w:rsidRDefault="00D852AF" w:rsidP="00432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477"/>
    <w:multiLevelType w:val="hybridMultilevel"/>
    <w:tmpl w:val="F09AF732"/>
    <w:lvl w:ilvl="0" w:tplc="935CBA8A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069C3B15"/>
    <w:multiLevelType w:val="hybridMultilevel"/>
    <w:tmpl w:val="CA9AEC4A"/>
    <w:lvl w:ilvl="0" w:tplc="06B6B27C">
      <w:start w:val="1"/>
      <w:numFmt w:val="bullet"/>
      <w:lvlText w:val=""/>
      <w:lvlJc w:val="left"/>
      <w:pPr>
        <w:ind w:left="0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492D8E"/>
    <w:multiLevelType w:val="hybridMultilevel"/>
    <w:tmpl w:val="9656E6A0"/>
    <w:lvl w:ilvl="0" w:tplc="8BF478BE">
      <w:start w:val="1"/>
      <w:numFmt w:val="bullet"/>
      <w:lvlText w:val=""/>
      <w:lvlJc w:val="left"/>
      <w:pPr>
        <w:ind w:left="0" w:firstLine="11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14374"/>
    <w:multiLevelType w:val="hybridMultilevel"/>
    <w:tmpl w:val="84460932"/>
    <w:lvl w:ilvl="0" w:tplc="B55C05E6">
      <w:start w:val="1"/>
      <w:numFmt w:val="bullet"/>
      <w:lvlText w:val=""/>
      <w:lvlJc w:val="left"/>
      <w:pPr>
        <w:ind w:left="60" w:firstLine="7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E4A30"/>
    <w:multiLevelType w:val="hybridMultilevel"/>
    <w:tmpl w:val="9B68762A"/>
    <w:lvl w:ilvl="0" w:tplc="83AA7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8139FF"/>
    <w:multiLevelType w:val="hybridMultilevel"/>
    <w:tmpl w:val="D39ECE88"/>
    <w:lvl w:ilvl="0" w:tplc="04190001">
      <w:start w:val="1"/>
      <w:numFmt w:val="bullet"/>
      <w:lvlText w:val=""/>
      <w:lvlJc w:val="left"/>
      <w:pPr>
        <w:ind w:left="0" w:firstLine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F134E04"/>
    <w:multiLevelType w:val="hybridMultilevel"/>
    <w:tmpl w:val="52EC967A"/>
    <w:lvl w:ilvl="0" w:tplc="0419000B">
      <w:start w:val="1"/>
      <w:numFmt w:val="bullet"/>
      <w:lvlText w:val=""/>
      <w:lvlJc w:val="left"/>
      <w:pPr>
        <w:ind w:left="0" w:firstLine="1069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530C3405"/>
    <w:multiLevelType w:val="hybridMultilevel"/>
    <w:tmpl w:val="64B28F86"/>
    <w:lvl w:ilvl="0" w:tplc="CC20961E">
      <w:start w:val="1"/>
      <w:numFmt w:val="bullet"/>
      <w:lvlText w:val=""/>
      <w:lvlJc w:val="left"/>
      <w:pPr>
        <w:ind w:left="0" w:firstLine="11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60CF1"/>
    <w:multiLevelType w:val="hybridMultilevel"/>
    <w:tmpl w:val="3140EE60"/>
    <w:lvl w:ilvl="0" w:tplc="61266578">
      <w:start w:val="1"/>
      <w:numFmt w:val="bullet"/>
      <w:lvlText w:val=""/>
      <w:lvlJc w:val="left"/>
      <w:pPr>
        <w:ind w:left="0" w:firstLine="9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A7BDF"/>
    <w:multiLevelType w:val="hybridMultilevel"/>
    <w:tmpl w:val="2B8AD60A"/>
    <w:lvl w:ilvl="0" w:tplc="72A2102E">
      <w:start w:val="1"/>
      <w:numFmt w:val="decimal"/>
      <w:lvlText w:val="%1."/>
      <w:lvlJc w:val="left"/>
      <w:pPr>
        <w:ind w:left="0" w:firstLine="10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0">
    <w:nsid w:val="72613620"/>
    <w:multiLevelType w:val="hybridMultilevel"/>
    <w:tmpl w:val="B2E23998"/>
    <w:lvl w:ilvl="0" w:tplc="625032A8">
      <w:start w:val="1"/>
      <w:numFmt w:val="bullet"/>
      <w:lvlText w:val=""/>
      <w:lvlJc w:val="left"/>
      <w:pPr>
        <w:ind w:left="0" w:firstLine="11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77F8B"/>
    <w:multiLevelType w:val="hybridMultilevel"/>
    <w:tmpl w:val="98E2AA84"/>
    <w:lvl w:ilvl="0" w:tplc="8BC8F6B8">
      <w:start w:val="1"/>
      <w:numFmt w:val="bullet"/>
      <w:lvlText w:val=""/>
      <w:lvlJc w:val="left"/>
      <w:pPr>
        <w:ind w:left="0" w:firstLine="106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B466F3A"/>
    <w:multiLevelType w:val="hybridMultilevel"/>
    <w:tmpl w:val="973EA542"/>
    <w:lvl w:ilvl="0" w:tplc="7B5610EC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904"/>
    <w:rsid w:val="0002191D"/>
    <w:rsid w:val="00025C9F"/>
    <w:rsid w:val="00050FAC"/>
    <w:rsid w:val="00067AD8"/>
    <w:rsid w:val="00090708"/>
    <w:rsid w:val="001F5740"/>
    <w:rsid w:val="002C0D14"/>
    <w:rsid w:val="002D4C9C"/>
    <w:rsid w:val="00320629"/>
    <w:rsid w:val="003A3973"/>
    <w:rsid w:val="003C3264"/>
    <w:rsid w:val="0040774B"/>
    <w:rsid w:val="00432B1F"/>
    <w:rsid w:val="00476B1A"/>
    <w:rsid w:val="00481662"/>
    <w:rsid w:val="004C5C8B"/>
    <w:rsid w:val="004E1AC2"/>
    <w:rsid w:val="00522904"/>
    <w:rsid w:val="00534F50"/>
    <w:rsid w:val="00554CD7"/>
    <w:rsid w:val="00561F93"/>
    <w:rsid w:val="0058179A"/>
    <w:rsid w:val="005D4094"/>
    <w:rsid w:val="00617723"/>
    <w:rsid w:val="00627542"/>
    <w:rsid w:val="00696B48"/>
    <w:rsid w:val="006C090D"/>
    <w:rsid w:val="006C0A0A"/>
    <w:rsid w:val="006C12ED"/>
    <w:rsid w:val="00743A7F"/>
    <w:rsid w:val="007E1ACC"/>
    <w:rsid w:val="007E3B32"/>
    <w:rsid w:val="00806F86"/>
    <w:rsid w:val="008355AC"/>
    <w:rsid w:val="008B35A3"/>
    <w:rsid w:val="00911F8E"/>
    <w:rsid w:val="00937E58"/>
    <w:rsid w:val="00961A77"/>
    <w:rsid w:val="009C6EB9"/>
    <w:rsid w:val="00AA58E4"/>
    <w:rsid w:val="00AA6151"/>
    <w:rsid w:val="00AC34D2"/>
    <w:rsid w:val="00B247A4"/>
    <w:rsid w:val="00B728FA"/>
    <w:rsid w:val="00B90F77"/>
    <w:rsid w:val="00BE4137"/>
    <w:rsid w:val="00BE4AA1"/>
    <w:rsid w:val="00C91249"/>
    <w:rsid w:val="00CE09CE"/>
    <w:rsid w:val="00D035B4"/>
    <w:rsid w:val="00D852AF"/>
    <w:rsid w:val="00DC3EDD"/>
    <w:rsid w:val="00E1325C"/>
    <w:rsid w:val="00E3688B"/>
    <w:rsid w:val="00E554B5"/>
    <w:rsid w:val="00EC63CE"/>
    <w:rsid w:val="00EC7D13"/>
    <w:rsid w:val="00EE50D9"/>
    <w:rsid w:val="00EF60FC"/>
    <w:rsid w:val="00F627B2"/>
    <w:rsid w:val="00F83D25"/>
    <w:rsid w:val="00F91AE5"/>
    <w:rsid w:val="00FA3E89"/>
    <w:rsid w:val="00FA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2B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2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2B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2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F574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F5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F574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554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4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2B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2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2B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2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F574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F5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F57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C0AD-FA39-47D9-9E36-CED3EC57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КСП</cp:lastModifiedBy>
  <cp:revision>9</cp:revision>
  <dcterms:created xsi:type="dcterms:W3CDTF">2015-10-28T06:34:00Z</dcterms:created>
  <dcterms:modified xsi:type="dcterms:W3CDTF">2015-11-24T00:16:00Z</dcterms:modified>
</cp:coreProperties>
</file>