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25" w:rsidRPr="0085551D" w:rsidRDefault="00165B4A" w:rsidP="0085551D">
      <w:pPr>
        <w:pStyle w:val="21"/>
        <w:shd w:val="clear" w:color="auto" w:fill="auto"/>
        <w:spacing w:after="812"/>
        <w:ind w:right="80"/>
        <w:rPr>
          <w:sz w:val="28"/>
          <w:szCs w:val="28"/>
        </w:rPr>
      </w:pPr>
      <w:bookmarkStart w:id="0" w:name="_GoBack"/>
      <w:r w:rsidRPr="0085551D">
        <w:rPr>
          <w:sz w:val="28"/>
          <w:szCs w:val="28"/>
        </w:rPr>
        <w:t>АДМИНИСТРАЦИЯ МУНИЦИПАЛЬНОГО РАЙОНА</w:t>
      </w:r>
      <w:r w:rsidRPr="0085551D">
        <w:rPr>
          <w:sz w:val="28"/>
          <w:szCs w:val="28"/>
        </w:rPr>
        <w:br/>
        <w:t>«ОЛОВЯННИНСКИЙ РАЙОН»</w:t>
      </w:r>
    </w:p>
    <w:p w:rsidR="00500025" w:rsidRPr="0085551D" w:rsidRDefault="00165B4A">
      <w:pPr>
        <w:pStyle w:val="21"/>
        <w:shd w:val="clear" w:color="auto" w:fill="auto"/>
        <w:spacing w:after="0" w:line="260" w:lineRule="exact"/>
        <w:ind w:right="80"/>
        <w:rPr>
          <w:sz w:val="28"/>
          <w:szCs w:val="28"/>
        </w:rPr>
      </w:pPr>
      <w:r w:rsidRPr="0085551D">
        <w:rPr>
          <w:sz w:val="28"/>
          <w:szCs w:val="28"/>
        </w:rPr>
        <w:t>ПОСТАНОВЛЕНИЕ</w:t>
      </w:r>
    </w:p>
    <w:p w:rsidR="00500025" w:rsidRPr="0085551D" w:rsidRDefault="00165B4A">
      <w:pPr>
        <w:pStyle w:val="21"/>
        <w:shd w:val="clear" w:color="auto" w:fill="auto"/>
        <w:spacing w:after="146" w:line="260" w:lineRule="exact"/>
        <w:ind w:right="120"/>
        <w:rPr>
          <w:sz w:val="28"/>
          <w:szCs w:val="28"/>
          <w:lang w:val="en-US"/>
        </w:rPr>
      </w:pPr>
      <w:r w:rsidRPr="0085551D">
        <w:rPr>
          <w:sz w:val="28"/>
          <w:szCs w:val="28"/>
        </w:rPr>
        <w:t>п.г.т .Оловянная</w:t>
      </w:r>
    </w:p>
    <w:p w:rsidR="0085551D" w:rsidRDefault="0085551D" w:rsidP="0085551D">
      <w:pPr>
        <w:pStyle w:val="21"/>
        <w:shd w:val="clear" w:color="auto" w:fill="auto"/>
        <w:spacing w:after="146" w:line="260" w:lineRule="exact"/>
        <w:ind w:right="120"/>
        <w:jc w:val="both"/>
        <w:rPr>
          <w:sz w:val="28"/>
          <w:szCs w:val="28"/>
        </w:rPr>
      </w:pPr>
      <w:r w:rsidRPr="0085551D">
        <w:rPr>
          <w:sz w:val="28"/>
          <w:szCs w:val="28"/>
        </w:rPr>
        <w:t>«21» декабря 2015г                                                                                       501</w:t>
      </w:r>
    </w:p>
    <w:p w:rsidR="0085551D" w:rsidRPr="0085551D" w:rsidRDefault="0085551D" w:rsidP="0085551D">
      <w:pPr>
        <w:pStyle w:val="21"/>
        <w:shd w:val="clear" w:color="auto" w:fill="auto"/>
        <w:spacing w:after="146" w:line="260" w:lineRule="exact"/>
        <w:ind w:right="120"/>
        <w:jc w:val="both"/>
        <w:rPr>
          <w:sz w:val="28"/>
          <w:szCs w:val="28"/>
        </w:rPr>
      </w:pPr>
    </w:p>
    <w:p w:rsidR="00500025" w:rsidRPr="0085551D" w:rsidRDefault="00165B4A" w:rsidP="0085551D">
      <w:pPr>
        <w:pStyle w:val="21"/>
        <w:shd w:val="clear" w:color="auto" w:fill="auto"/>
        <w:spacing w:after="146" w:line="260" w:lineRule="exact"/>
        <w:ind w:right="120"/>
        <w:rPr>
          <w:sz w:val="28"/>
          <w:szCs w:val="28"/>
        </w:rPr>
      </w:pPr>
      <w:r w:rsidRPr="0085551D">
        <w:rPr>
          <w:sz w:val="28"/>
          <w:szCs w:val="28"/>
        </w:rPr>
        <w:t>О внесении изменений в муниципальную программу «Сохранение, поддержка и развитие сферы культуры в Оловяннинском районе (2015- 2017т.г.)</w:t>
      </w:r>
    </w:p>
    <w:p w:rsidR="00500025" w:rsidRPr="0085551D" w:rsidRDefault="00165B4A">
      <w:pPr>
        <w:pStyle w:val="21"/>
        <w:shd w:val="clear" w:color="auto" w:fill="auto"/>
        <w:spacing w:after="208" w:line="370" w:lineRule="exact"/>
        <w:ind w:left="160" w:firstLine="700"/>
        <w:jc w:val="both"/>
        <w:rPr>
          <w:sz w:val="28"/>
          <w:szCs w:val="28"/>
        </w:rPr>
      </w:pPr>
      <w:r w:rsidRPr="0085551D">
        <w:rPr>
          <w:sz w:val="28"/>
          <w:szCs w:val="28"/>
        </w:rPr>
        <w:t xml:space="preserve">В </w:t>
      </w:r>
      <w:r w:rsidRPr="0085551D">
        <w:rPr>
          <w:sz w:val="28"/>
          <w:szCs w:val="28"/>
        </w:rPr>
        <w:t>соответствии с Постановлением № 339 от 8 октября 2014 года «Об утверждении Порядка разработки и реализации муниципальных программ муниципального района «Оловяннинский район», статьей 179 Бюджетного кодекса Российской Федерации от 31.07.1998 № 145-ФЗ, п.9 с</w:t>
      </w:r>
      <w:r w:rsidRPr="0085551D">
        <w:rPr>
          <w:sz w:val="28"/>
          <w:szCs w:val="28"/>
        </w:rPr>
        <w:t>т. 10 Уставом муниципального района «Оловяннинский район», администрация муниципального района «Оловяннинский район»</w:t>
      </w:r>
    </w:p>
    <w:p w:rsidR="00500025" w:rsidRPr="0085551D" w:rsidRDefault="00165B4A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51D">
        <w:rPr>
          <w:rStyle w:val="23pt"/>
          <w:rFonts w:eastAsia="Arial Unicode MS"/>
          <w:spacing w:val="0"/>
          <w:sz w:val="28"/>
          <w:szCs w:val="28"/>
        </w:rPr>
        <w:t>постановляет:</w:t>
      </w:r>
    </w:p>
    <w:p w:rsidR="00500025" w:rsidRP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5B4A" w:rsidRPr="0085551D">
        <w:rPr>
          <w:rFonts w:ascii="Times New Roman" w:hAnsi="Times New Roman" w:cs="Times New Roman"/>
          <w:sz w:val="28"/>
          <w:szCs w:val="28"/>
        </w:rPr>
        <w:t xml:space="preserve">Утвердить «Целевые показатели (индикаторы) результативности и эффективности муниципальной программы «Сохранение, поддержка и </w:t>
      </w:r>
      <w:r w:rsidR="00165B4A" w:rsidRPr="0085551D">
        <w:rPr>
          <w:rFonts w:ascii="Times New Roman" w:hAnsi="Times New Roman" w:cs="Times New Roman"/>
          <w:sz w:val="28"/>
          <w:szCs w:val="28"/>
        </w:rPr>
        <w:t>развитие сферы культуры в Оловяннин</w:t>
      </w:r>
      <w:r w:rsidRPr="0085551D">
        <w:rPr>
          <w:rFonts w:ascii="Times New Roman" w:hAnsi="Times New Roman" w:cs="Times New Roman"/>
          <w:sz w:val="28"/>
          <w:szCs w:val="28"/>
        </w:rPr>
        <w:t xml:space="preserve">ском районе (2015-2017г.г.)» к </w:t>
      </w:r>
      <w:r w:rsidR="00165B4A" w:rsidRPr="0085551D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«Сохранение, поддержка и развитие сферы культуры в Оловяннинском районе (2015-2017г.г.)» согласно приложения</w:t>
      </w:r>
      <w:r w:rsidRPr="0085551D">
        <w:rPr>
          <w:rFonts w:ascii="Times New Roman" w:hAnsi="Times New Roman" w:cs="Times New Roman"/>
          <w:sz w:val="28"/>
          <w:szCs w:val="28"/>
        </w:rPr>
        <w:t xml:space="preserve"> </w:t>
      </w:r>
      <w:r w:rsidR="00165B4A" w:rsidRPr="0085551D">
        <w:rPr>
          <w:rFonts w:ascii="Times New Roman" w:hAnsi="Times New Roman" w:cs="Times New Roman"/>
          <w:sz w:val="28"/>
          <w:szCs w:val="28"/>
        </w:rPr>
        <w:t>№1</w:t>
      </w:r>
    </w:p>
    <w:p w:rsidR="00500025" w:rsidRP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5B4A" w:rsidRPr="0085551D">
        <w:rPr>
          <w:rFonts w:ascii="Times New Roman" w:hAnsi="Times New Roman" w:cs="Times New Roman"/>
          <w:sz w:val="28"/>
          <w:szCs w:val="28"/>
        </w:rPr>
        <w:t>Утвердить порядок расчетов целевых показателей муниц</w:t>
      </w:r>
      <w:r w:rsidR="00165B4A" w:rsidRPr="0085551D">
        <w:rPr>
          <w:rFonts w:ascii="Times New Roman" w:hAnsi="Times New Roman" w:cs="Times New Roman"/>
          <w:sz w:val="28"/>
          <w:szCs w:val="28"/>
        </w:rPr>
        <w:t>ипальной программы «Сохранение, поддержка и развитие сферы культуры в Оловяннинском районе (2015-2017г.г.)» согласно приложения №2</w:t>
      </w:r>
    </w:p>
    <w:p w:rsidR="00500025" w:rsidRP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5B4A" w:rsidRPr="0085551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социальной политике.</w:t>
      </w:r>
    </w:p>
    <w:p w:rsidR="00500025" w:rsidRP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5B4A" w:rsidRPr="0085551D">
        <w:rPr>
          <w:rFonts w:ascii="Times New Roman" w:hAnsi="Times New Roman" w:cs="Times New Roman"/>
          <w:sz w:val="28"/>
          <w:szCs w:val="28"/>
        </w:rPr>
        <w:t>Настоящее</w:t>
      </w:r>
      <w:r w:rsidR="00165B4A" w:rsidRPr="0085551D">
        <w:rPr>
          <w:rFonts w:ascii="Times New Roman" w:hAnsi="Times New Roman" w:cs="Times New Roman"/>
          <w:sz w:val="28"/>
          <w:szCs w:val="28"/>
        </w:rPr>
        <w:tab/>
        <w:t>постановление разместить в информационно- телекаммуникационной сети «Интернет» на официальном сайте администрации МР «Оловяннинский район».</w:t>
      </w:r>
    </w:p>
    <w:p w:rsid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51D" w:rsidRPr="0085551D" w:rsidRDefault="0085551D" w:rsidP="008555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344170" distR="63500" simplePos="0" relativeHeight="377487108" behindDoc="1" locked="0" layoutInCell="1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370840</wp:posOffset>
                </wp:positionV>
                <wp:extent cx="1207135" cy="165100"/>
                <wp:effectExtent l="1905" t="0" r="635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25" w:rsidRDefault="00165B4A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А.В. Антошкин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0.4pt;margin-top:29.2pt;width:95.05pt;height:13pt;z-index:-125829372;visibility:visible;mso-wrap-style:square;mso-width-percent:0;mso-height-percent:0;mso-wrap-distance-left:27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UorQ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" filled="f" stroked="f">
                <v:textbox style="mso-fit-shape-to-text:t" inset="0,0,0,0">
                  <w:txbxContent>
                    <w:p w:rsidR="00500025" w:rsidRDefault="00165B4A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А.В. Антошкин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5B4A" w:rsidRPr="0085551D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5551D" w:rsidRPr="0085551D" w:rsidRDefault="00165B4A" w:rsidP="0085551D">
      <w:pPr>
        <w:pStyle w:val="21"/>
        <w:shd w:val="clear" w:color="auto" w:fill="auto"/>
        <w:spacing w:after="0" w:line="326" w:lineRule="exact"/>
        <w:ind w:left="160"/>
        <w:jc w:val="both"/>
        <w:rPr>
          <w:sz w:val="28"/>
          <w:szCs w:val="28"/>
        </w:rPr>
      </w:pPr>
      <w:r w:rsidRPr="0085551D">
        <w:rPr>
          <w:sz w:val="28"/>
          <w:szCs w:val="28"/>
        </w:rPr>
        <w:t xml:space="preserve">муниципального района </w:t>
      </w:r>
    </w:p>
    <w:p w:rsidR="00500025" w:rsidRPr="0085551D" w:rsidRDefault="00165B4A" w:rsidP="0085551D">
      <w:pPr>
        <w:pStyle w:val="21"/>
        <w:shd w:val="clear" w:color="auto" w:fill="auto"/>
        <w:spacing w:after="0" w:line="326" w:lineRule="exact"/>
        <w:ind w:left="160"/>
        <w:jc w:val="both"/>
        <w:rPr>
          <w:sz w:val="28"/>
          <w:szCs w:val="28"/>
        </w:rPr>
        <w:sectPr w:rsidR="00500025" w:rsidRPr="0085551D">
          <w:pgSz w:w="11900" w:h="16840"/>
          <w:pgMar w:top="1935" w:right="919" w:bottom="553" w:left="1481" w:header="0" w:footer="3" w:gutter="0"/>
          <w:cols w:space="720"/>
          <w:noEndnote/>
          <w:docGrid w:linePitch="360"/>
        </w:sectPr>
      </w:pPr>
      <w:r w:rsidRPr="0085551D">
        <w:rPr>
          <w:sz w:val="28"/>
          <w:szCs w:val="28"/>
        </w:rPr>
        <w:t xml:space="preserve">«Оловяннинский </w:t>
      </w:r>
      <w:r w:rsidRPr="0085551D">
        <w:rPr>
          <w:sz w:val="28"/>
          <w:szCs w:val="28"/>
        </w:rPr>
        <w:t>район»</w:t>
      </w:r>
    </w:p>
    <w:p w:rsidR="00500025" w:rsidRDefault="00165B4A" w:rsidP="0085551D">
      <w:pPr>
        <w:pStyle w:val="50"/>
        <w:shd w:val="clear" w:color="auto" w:fill="auto"/>
        <w:jc w:val="right"/>
      </w:pPr>
      <w:r>
        <w:rPr>
          <w:rStyle w:val="5105pt"/>
        </w:rPr>
        <w:lastRenderedPageBreak/>
        <w:t>Приложение№1</w:t>
      </w:r>
      <w:r>
        <w:rPr>
          <w:rStyle w:val="5105pt"/>
        </w:rPr>
        <w:br/>
      </w:r>
      <w:r>
        <w:t>Утверждено</w:t>
      </w:r>
      <w:r>
        <w:br/>
        <w:t>Постановлением администрации</w:t>
      </w:r>
      <w:r>
        <w:br/>
        <w:t>МР «Оловяннинский район»</w:t>
      </w:r>
      <w:r>
        <w:br/>
      </w:r>
      <w:r w:rsidR="0085551D">
        <w:rPr>
          <w:rStyle w:val="513pt-1pt"/>
        </w:rPr>
        <w:t>21.12.</w:t>
      </w:r>
      <w:r>
        <w:rPr>
          <w:rStyle w:val="51"/>
        </w:rPr>
        <w:t xml:space="preserve"> </w:t>
      </w:r>
      <w:r>
        <w:t xml:space="preserve">2015г. № </w:t>
      </w:r>
      <w:r w:rsidR="0085551D">
        <w:rPr>
          <w:rStyle w:val="513pt-1pt"/>
        </w:rPr>
        <w:t>501</w:t>
      </w:r>
    </w:p>
    <w:p w:rsidR="00500025" w:rsidRDefault="00165B4A" w:rsidP="0085551D">
      <w:pPr>
        <w:pStyle w:val="21"/>
        <w:shd w:val="clear" w:color="auto" w:fill="auto"/>
        <w:spacing w:after="0" w:line="322" w:lineRule="exact"/>
        <w:ind w:left="3640" w:firstLine="1760"/>
        <w:jc w:val="left"/>
      </w:pPr>
      <w:r>
        <w:t>Целевые показатели (индикаторы) результативности и эффективности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498"/>
        <w:gridCol w:w="2443"/>
        <w:gridCol w:w="2429"/>
        <w:gridCol w:w="2429"/>
        <w:gridCol w:w="2443"/>
      </w:tblGrid>
      <w:tr w:rsidR="0050002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12" w:type="dxa"/>
            <w:gridSpan w:val="2"/>
            <w:shd w:val="clear" w:color="auto" w:fill="FFFFFF"/>
            <w:vAlign w:val="bottom"/>
          </w:tcPr>
          <w:p w:rsidR="00500025" w:rsidRDefault="00165B4A" w:rsidP="0085551D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«Сохранение, поддержка и</w:t>
            </w:r>
          </w:p>
        </w:tc>
        <w:tc>
          <w:tcPr>
            <w:tcW w:w="9744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 w:rsidP="0085551D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развитие сферы культуры в Оловян</w:t>
            </w:r>
            <w:r>
              <w:rPr>
                <w:rStyle w:val="22"/>
              </w:rPr>
              <w:t>нинском районе (2015-2017г.г.)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>Наименование показателя (индикатора)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2"/>
              </w:rPr>
              <w:t>2014 год (факт)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2015г.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2016г.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2017г.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Увеличение количества клубных формирований в досуговых учреждениях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ПО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125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Увеличение числа посетителей муниципального музея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4500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4600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4710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4830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Доля специалистов отрасли, прошедших повышение квалификации, обучение, в общем объеме специалистов, нуждающихся в повышении квалификации ,%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46,5%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3,9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10,7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Увеличение числа лауреатов краевых, всероссийских конкурсов из числа </w:t>
            </w:r>
            <w:r>
              <w:rPr>
                <w:rStyle w:val="211pt"/>
              </w:rPr>
              <w:t>учащихся детских музыкальных и школ искусств (нарастающий итог)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бчел.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бчел.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8чел.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Ючел.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Сокращение количества списанных по причине ветхости единиц хранения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4,2%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3.2%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2.2%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1,2%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Увеличение количества районных выставок-конкурсов, фестивалей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85551D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Пополнение фондов библиотек , в том числе детской и отраслевой литературой, к общему объему имеющихся фондов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1502экз.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500экз.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500экз.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на500экз.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Доля учреждений культуры, оснащенных световым и звукозаписывающим оборудованием, мебелью,%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25%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30%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30%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85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40%</w:t>
            </w:r>
          </w:p>
        </w:tc>
      </w:tr>
    </w:tbl>
    <w:p w:rsidR="00500025" w:rsidRDefault="00500025">
      <w:pPr>
        <w:framePr w:w="14856" w:wrap="notBeside" w:vAnchor="text" w:hAnchor="text" w:xAlign="center" w:y="1"/>
        <w:rPr>
          <w:sz w:val="2"/>
          <w:szCs w:val="2"/>
        </w:rPr>
      </w:pPr>
    </w:p>
    <w:p w:rsidR="00500025" w:rsidRDefault="00165B4A">
      <w:pPr>
        <w:rPr>
          <w:sz w:val="2"/>
          <w:szCs w:val="2"/>
        </w:rPr>
      </w:pPr>
      <w:r>
        <w:br w:type="page"/>
      </w:r>
    </w:p>
    <w:p w:rsidR="00500025" w:rsidRDefault="0085551D">
      <w:pPr>
        <w:pStyle w:val="50"/>
        <w:shd w:val="clear" w:color="auto" w:fill="auto"/>
        <w:spacing w:after="206"/>
        <w:ind w:left="11400" w:firstLine="172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3249295</wp:posOffset>
                </wp:positionH>
                <wp:positionV relativeFrom="paragraph">
                  <wp:posOffset>-323850</wp:posOffset>
                </wp:positionV>
                <wp:extent cx="73025" cy="165100"/>
                <wp:effectExtent l="1270" t="0" r="1905" b="0"/>
                <wp:wrapSquare wrapText="righ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25" w:rsidRDefault="00500025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55.85pt;margin-top:-25.5pt;width:5.75pt;height:13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VQrQIAAK4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" filled="f" stroked="f">
                <v:textbox style="mso-fit-shape-to-text:t" inset="0,0,0,0">
                  <w:txbxContent>
                    <w:p w:rsidR="00500025" w:rsidRDefault="00500025">
                      <w:pPr>
                        <w:pStyle w:val="21"/>
                        <w:shd w:val="clear" w:color="auto" w:fill="auto"/>
                        <w:spacing w:after="0" w:line="26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65B4A">
        <w:t xml:space="preserve">Г1риложение№2 Утверждено 1 Установлением администрации МР «Оловяннинский район» </w:t>
      </w:r>
      <w:r>
        <w:t>21.12.</w:t>
      </w:r>
      <w:r w:rsidR="00165B4A">
        <w:t xml:space="preserve">2015г. № </w:t>
      </w:r>
      <w:r>
        <w:rPr>
          <w:rStyle w:val="513pt-1pt"/>
        </w:rPr>
        <w:t>501</w:t>
      </w:r>
    </w:p>
    <w:p w:rsidR="00500025" w:rsidRDefault="00165B4A">
      <w:pPr>
        <w:pStyle w:val="21"/>
        <w:shd w:val="clear" w:color="auto" w:fill="auto"/>
        <w:spacing w:after="0" w:line="317" w:lineRule="exact"/>
        <w:ind w:left="60"/>
      </w:pPr>
      <w:r>
        <w:t>Порядок расчетов целевых показателей муниципальной программы</w:t>
      </w:r>
      <w:r>
        <w:br/>
        <w:t xml:space="preserve">«Сохранение, поддержка и развитие сферы культуры в Оловяннинском районе </w:t>
      </w:r>
      <w:r>
        <w:t>(2015-2017г.г.)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7762"/>
        <w:gridCol w:w="6331"/>
      </w:tblGrid>
      <w:tr w:rsidR="0050002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2"/>
              </w:rPr>
              <w:t>№п/п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Наименование показателя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Формула расчета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Увеличение количества клубных формирований в досуговых учреждениях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  <w:ind w:left="760"/>
              <w:jc w:val="left"/>
            </w:pPr>
            <w:r>
              <w:rPr>
                <w:rStyle w:val="22"/>
              </w:rPr>
              <w:t>нарастающий итог (по стат.отчетам)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Увеличение числа посетителей муниципального музея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ЧП</w:t>
            </w:r>
            <w:r>
              <w:rPr>
                <w:rStyle w:val="22"/>
                <w:vertAlign w:val="subscript"/>
              </w:rPr>
              <w:t>ув</w:t>
            </w:r>
            <w:r>
              <w:rPr>
                <w:rStyle w:val="22"/>
              </w:rPr>
              <w:t xml:space="preserve">х100/ </w:t>
            </w:r>
            <w:r>
              <w:rPr>
                <w:rStyle w:val="23"/>
              </w:rPr>
              <w:t>ЧП</w:t>
            </w:r>
            <w:r>
              <w:rPr>
                <w:rStyle w:val="23"/>
                <w:vertAlign w:val="subscript"/>
              </w:rPr>
              <w:t>ОБ</w:t>
            </w:r>
            <w:r>
              <w:rPr>
                <w:rStyle w:val="23"/>
              </w:rPr>
              <w:t>,</w:t>
            </w:r>
          </w:p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где ЧПув.-число </w:t>
            </w:r>
            <w:r>
              <w:rPr>
                <w:rStyle w:val="211pt"/>
              </w:rPr>
              <w:t>посещений увеличенное, ЧПоб.-общее число посещений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 xml:space="preserve">Доля специалистов отрасли, прошедших повышение квалификации, обучение, в общем объеме специалистов, нуждающихся в повышении квалификации </w:t>
            </w:r>
            <w:r>
              <w:rPr>
                <w:rStyle w:val="211pt"/>
              </w:rPr>
              <w:t>,%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180" w:line="260" w:lineRule="exact"/>
            </w:pPr>
            <w:r>
              <w:rPr>
                <w:rStyle w:val="22"/>
              </w:rPr>
              <w:t>С</w:t>
            </w:r>
            <w:r>
              <w:rPr>
                <w:rStyle w:val="22"/>
                <w:vertAlign w:val="subscript"/>
              </w:rPr>
              <w:t>кв</w:t>
            </w:r>
            <w:r>
              <w:rPr>
                <w:rStyle w:val="22"/>
              </w:rPr>
              <w:t xml:space="preserve">.х </w:t>
            </w:r>
            <w:r>
              <w:rPr>
                <w:rStyle w:val="211pt"/>
              </w:rPr>
              <w:t>100/ Соб</w:t>
            </w:r>
          </w:p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before="180" w:after="0" w:line="140" w:lineRule="exact"/>
            </w:pPr>
            <w:r>
              <w:rPr>
                <w:rStyle w:val="2LucidaSansUnicode7pt"/>
              </w:rPr>
              <w:t>где С об.-общее число специалистов. Скв.-спец.</w:t>
            </w:r>
            <w:r>
              <w:rPr>
                <w:rStyle w:val="2LucidaSansUnicode7pt"/>
              </w:rPr>
              <w:t xml:space="preserve"> прошедшие обучение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322" w:lineRule="exact"/>
              <w:ind w:left="260" w:firstLine="440"/>
              <w:jc w:val="left"/>
            </w:pPr>
            <w:r>
              <w:rPr>
                <w:rStyle w:val="22"/>
              </w:rPr>
              <w:t>Увеличение числа лауреатов краевых, всероссийских конкурсов из числа учащихся детских музыкальных и школ искусств (нарастающий итог)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(нарастающий итог)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2"/>
              </w:rPr>
              <w:t>Сокращение количества списанных по причине ветхости</w:t>
            </w:r>
          </w:p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22"/>
              </w:rPr>
              <w:t>единиц хранения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317" w:lineRule="exact"/>
              <w:ind w:left="1200" w:firstLine="920"/>
              <w:jc w:val="left"/>
            </w:pPr>
            <w:r>
              <w:rPr>
                <w:rStyle w:val="22"/>
              </w:rPr>
              <w:t xml:space="preserve">С </w:t>
            </w:r>
            <w:r>
              <w:rPr>
                <w:rStyle w:val="211pt"/>
              </w:rPr>
              <w:t xml:space="preserve">Л </w:t>
            </w:r>
            <w:r>
              <w:rPr>
                <w:rStyle w:val="23"/>
              </w:rPr>
              <w:t xml:space="preserve">в=ОФХ1,78/ЮО </w:t>
            </w:r>
            <w:r>
              <w:rPr>
                <w:rStyle w:val="211pt"/>
              </w:rPr>
              <w:t>СЛ</w:t>
            </w:r>
            <w:r>
              <w:rPr>
                <w:rStyle w:val="211pt"/>
                <w:vertAlign w:val="subscript"/>
              </w:rPr>
              <w:t>в</w:t>
            </w:r>
            <w:r>
              <w:rPr>
                <w:rStyle w:val="211pt"/>
              </w:rPr>
              <w:t xml:space="preserve">-списание литературы по ветхости </w:t>
            </w:r>
            <w:r>
              <w:rPr>
                <w:rStyle w:val="22"/>
              </w:rPr>
              <w:t xml:space="preserve">ОФ — </w:t>
            </w:r>
            <w:r>
              <w:rPr>
                <w:rStyle w:val="211pt"/>
              </w:rPr>
              <w:t>общий фонд , 1.78-норма РБА)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2"/>
              </w:rPr>
              <w:t>Увеличение количества районных выставок-конкурсов,</w:t>
            </w:r>
          </w:p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22"/>
              </w:rPr>
              <w:t>фестивалей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(нарастающий итог)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 xml:space="preserve">Пополнение фондов библиотек , в том числе детской и отраслевой литературой, к общему объему имеющихся фондов </w:t>
            </w:r>
            <w:r>
              <w:rPr>
                <w:rStyle w:val="211pt"/>
              </w:rPr>
              <w:t xml:space="preserve">( </w:t>
            </w:r>
            <w:r>
              <w:rPr>
                <w:rStyle w:val="22"/>
              </w:rPr>
              <w:t>на кол-во экз.)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(нарастающий итог)</w:t>
            </w:r>
          </w:p>
        </w:tc>
      </w:tr>
      <w:tr w:rsidR="0050002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>Доля учреждений культуры, оснащенных световым и звукозаписывающим оборудованием, мебелью,</w:t>
            </w:r>
            <w:r>
              <w:rPr>
                <w:rStyle w:val="211pt"/>
              </w:rPr>
              <w:t>%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КУос.х1</w:t>
            </w:r>
            <w:r>
              <w:rPr>
                <w:rStyle w:val="211pt"/>
              </w:rPr>
              <w:t>00/КУоб.</w:t>
            </w:r>
          </w:p>
          <w:p w:rsidR="00500025" w:rsidRDefault="00165B4A">
            <w:pPr>
              <w:pStyle w:val="21"/>
              <w:framePr w:w="1498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Где, КУос.-учреждения оснащенныеКУоб.-общее число учреждений</w:t>
            </w:r>
          </w:p>
        </w:tc>
      </w:tr>
    </w:tbl>
    <w:p w:rsidR="00500025" w:rsidRDefault="00500025">
      <w:pPr>
        <w:framePr w:w="14981" w:wrap="notBeside" w:vAnchor="text" w:hAnchor="text" w:xAlign="center" w:y="1"/>
        <w:rPr>
          <w:sz w:val="2"/>
          <w:szCs w:val="2"/>
        </w:rPr>
      </w:pPr>
    </w:p>
    <w:p w:rsidR="00500025" w:rsidRDefault="00500025">
      <w:pPr>
        <w:rPr>
          <w:sz w:val="2"/>
          <w:szCs w:val="2"/>
        </w:rPr>
      </w:pPr>
    </w:p>
    <w:bookmarkEnd w:id="0"/>
    <w:p w:rsidR="00500025" w:rsidRDefault="00500025">
      <w:pPr>
        <w:rPr>
          <w:sz w:val="2"/>
          <w:szCs w:val="2"/>
        </w:rPr>
      </w:pPr>
    </w:p>
    <w:sectPr w:rsidR="00500025">
      <w:pgSz w:w="16840" w:h="11900" w:orient="landscape"/>
      <w:pgMar w:top="505" w:right="1346" w:bottom="843" w:left="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4A" w:rsidRDefault="00165B4A">
      <w:r>
        <w:separator/>
      </w:r>
    </w:p>
  </w:endnote>
  <w:endnote w:type="continuationSeparator" w:id="0">
    <w:p w:rsidR="00165B4A" w:rsidRDefault="0016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4A" w:rsidRDefault="00165B4A"/>
  </w:footnote>
  <w:footnote w:type="continuationSeparator" w:id="0">
    <w:p w:rsidR="00165B4A" w:rsidRDefault="00165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3BF"/>
    <w:multiLevelType w:val="multilevel"/>
    <w:tmpl w:val="7C403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25"/>
    <w:rsid w:val="00165B4A"/>
    <w:rsid w:val="00500025"/>
    <w:rsid w:val="008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3pt-1pt">
    <w:name w:val="Основной текст (5) + 13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72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0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i/>
      <w:iCs/>
    </w:rPr>
  </w:style>
  <w:style w:type="paragraph" w:styleId="a5">
    <w:name w:val="No Spacing"/>
    <w:uiPriority w:val="1"/>
    <w:qFormat/>
    <w:rsid w:val="008555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3pt-1pt">
    <w:name w:val="Основной текст (5) + 13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72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0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i/>
      <w:iCs/>
    </w:rPr>
  </w:style>
  <w:style w:type="paragraph" w:styleId="a5">
    <w:name w:val="No Spacing"/>
    <w:uiPriority w:val="1"/>
    <w:qFormat/>
    <w:rsid w:val="008555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1</cp:revision>
  <dcterms:created xsi:type="dcterms:W3CDTF">2017-01-24T01:04:00Z</dcterms:created>
  <dcterms:modified xsi:type="dcterms:W3CDTF">2017-01-24T01:11:00Z</dcterms:modified>
</cp:coreProperties>
</file>