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CB" w:rsidRDefault="00C351CB" w:rsidP="00A82819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0F3" w:rsidRDefault="006B60F3" w:rsidP="006B60F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3675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B60F3" w:rsidRDefault="006B60F3" w:rsidP="006B60F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6B60F3" w:rsidRDefault="006B60F3" w:rsidP="006B60F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B60F3" w:rsidRDefault="006B60F3" w:rsidP="006B60F3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60F3" w:rsidRPr="00DF2AEE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0F3" w:rsidRPr="00502D81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E5EA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E5E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декабря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="00CE5E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№ 439</w:t>
      </w:r>
    </w:p>
    <w:p w:rsidR="006B60F3" w:rsidRPr="00BD226F" w:rsidRDefault="006B60F3" w:rsidP="006B60F3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26F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6B60F3" w:rsidRPr="00FB244E" w:rsidRDefault="006B60F3" w:rsidP="006B60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0F3" w:rsidRPr="006B60F3" w:rsidRDefault="006B60F3" w:rsidP="006B60F3">
      <w:pPr>
        <w:jc w:val="center"/>
        <w:rPr>
          <w:b/>
          <w:sz w:val="28"/>
          <w:szCs w:val="28"/>
        </w:rPr>
      </w:pPr>
      <w:r w:rsidRPr="006B60F3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 «Выдача разрешений на строительство, реконструкцию, капитальный ремонт объектов капитального строительства»</w:t>
      </w:r>
    </w:p>
    <w:p w:rsidR="006B60F3" w:rsidRDefault="006B60F3" w:rsidP="006B60F3">
      <w:pPr>
        <w:jc w:val="center"/>
        <w:rPr>
          <w:b/>
          <w:sz w:val="28"/>
          <w:szCs w:val="28"/>
        </w:rPr>
      </w:pPr>
    </w:p>
    <w:p w:rsidR="006B60F3" w:rsidRDefault="006B60F3" w:rsidP="006B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27.07.2010г. № 210-ФЗ «Об организации  предоставления государственных и муниципальных услуг», </w:t>
      </w:r>
      <w:r w:rsidRPr="006F0683">
        <w:rPr>
          <w:sz w:val="28"/>
          <w:szCs w:val="28"/>
        </w:rPr>
        <w:t>п. 3 ч. 1 ст. 15</w:t>
      </w:r>
      <w:r>
        <w:rPr>
          <w:sz w:val="28"/>
          <w:szCs w:val="28"/>
        </w:rPr>
        <w:t xml:space="preserve"> Федерального закона  от 06.10.2003 г. № 131- ФЗ «Об общих принципах организации местного самоуправления в Российской Федерации», распоряжения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</w:t>
      </w:r>
      <w:r w:rsidRPr="006B60F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требований протеста прокурора  Оловяннинского района от 02.12.2016г.</w:t>
      </w:r>
      <w:r w:rsidRPr="00F45462">
        <w:rPr>
          <w:sz w:val="28"/>
          <w:szCs w:val="28"/>
        </w:rPr>
        <w:t xml:space="preserve"> </w:t>
      </w:r>
      <w:r>
        <w:rPr>
          <w:sz w:val="28"/>
          <w:szCs w:val="28"/>
        </w:rPr>
        <w:t>№ 22-101-2016, 25 Устава муниципального района «Оловяннинский район», администрация муниципального района «Оловяннинский район»</w:t>
      </w:r>
    </w:p>
    <w:p w:rsidR="006B60F3" w:rsidRDefault="006B60F3" w:rsidP="006B60F3">
      <w:pPr>
        <w:ind w:firstLine="709"/>
        <w:jc w:val="both"/>
        <w:rPr>
          <w:sz w:val="28"/>
          <w:szCs w:val="28"/>
        </w:rPr>
      </w:pPr>
    </w:p>
    <w:p w:rsidR="006B60F3" w:rsidRDefault="006B60F3" w:rsidP="006B60F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:</w:t>
      </w:r>
    </w:p>
    <w:p w:rsidR="006B60F3" w:rsidRDefault="006B60F3" w:rsidP="006B60F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B60F3" w:rsidRDefault="006B60F3" w:rsidP="006B6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C606C">
        <w:rPr>
          <w:sz w:val="28"/>
          <w:szCs w:val="28"/>
        </w:rPr>
        <w:t xml:space="preserve">Утвердить прилагаемый административный </w:t>
      </w:r>
      <w:hyperlink r:id="rId7" w:history="1">
        <w:r w:rsidRPr="004C606C">
          <w:rPr>
            <w:sz w:val="28"/>
            <w:szCs w:val="28"/>
          </w:rPr>
          <w:t>регламент</w:t>
        </w:r>
      </w:hyperlink>
      <w:r>
        <w:t xml:space="preserve"> </w:t>
      </w:r>
      <w:r>
        <w:rPr>
          <w:sz w:val="28"/>
          <w:szCs w:val="28"/>
        </w:rPr>
        <w:t>предоставления</w:t>
      </w:r>
      <w:r w:rsidRPr="004C606C">
        <w:rPr>
          <w:sz w:val="28"/>
          <w:szCs w:val="28"/>
        </w:rPr>
        <w:t xml:space="preserve"> муниципальной услуги </w:t>
      </w:r>
      <w:r w:rsidRPr="00DF2AEE">
        <w:rPr>
          <w:b/>
          <w:sz w:val="28"/>
          <w:szCs w:val="28"/>
        </w:rPr>
        <w:t>«</w:t>
      </w:r>
      <w:r w:rsidRPr="002013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строительства»</w:t>
      </w:r>
      <w:r w:rsidR="00F3489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6B60F3" w:rsidRDefault="006B60F3" w:rsidP="006B60F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12DD3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 силу п</w:t>
      </w:r>
      <w:r w:rsidRPr="00306609">
        <w:rPr>
          <w:bCs/>
          <w:sz w:val="28"/>
          <w:szCs w:val="28"/>
        </w:rPr>
        <w:t xml:space="preserve">остановление </w:t>
      </w:r>
      <w:r>
        <w:rPr>
          <w:bCs/>
          <w:sz w:val="28"/>
          <w:szCs w:val="28"/>
        </w:rPr>
        <w:t xml:space="preserve">администрации  муниципального района «Оловяннинский район» от 03.11.2016г. № 365 </w:t>
      </w:r>
      <w:r w:rsidRPr="00212DD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</w:t>
      </w:r>
      <w:r w:rsidRPr="00212DD3">
        <w:rPr>
          <w:bCs/>
          <w:color w:val="000000"/>
          <w:spacing w:val="-3"/>
          <w:sz w:val="28"/>
          <w:szCs w:val="28"/>
        </w:rPr>
        <w:t xml:space="preserve">разрешений на строительство,  </w:t>
      </w:r>
      <w:r w:rsidRPr="00212DD3">
        <w:rPr>
          <w:bCs/>
          <w:sz w:val="28"/>
          <w:szCs w:val="28"/>
        </w:rPr>
        <w:t>реконструкцию, капитальный ремонт объектов капитального строительства</w:t>
      </w:r>
      <w:r>
        <w:rPr>
          <w:bCs/>
          <w:sz w:val="28"/>
          <w:szCs w:val="28"/>
        </w:rPr>
        <w:t>».</w:t>
      </w:r>
    </w:p>
    <w:p w:rsidR="006B60F3" w:rsidRPr="00BF6EA6" w:rsidRDefault="006B60F3" w:rsidP="006B60F3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6B60F3" w:rsidRDefault="006B60F3" w:rsidP="006B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6B60F3" w:rsidRDefault="006B60F3" w:rsidP="006B60F3">
      <w:pPr>
        <w:ind w:firstLine="567"/>
        <w:contextualSpacing/>
        <w:jc w:val="both"/>
        <w:rPr>
          <w:bCs/>
          <w:sz w:val="28"/>
          <w:szCs w:val="28"/>
        </w:rPr>
      </w:pPr>
    </w:p>
    <w:p w:rsidR="006B60F3" w:rsidRDefault="006B60F3" w:rsidP="006B60F3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F3" w:rsidRPr="00D015EA" w:rsidRDefault="006B60F3" w:rsidP="006B6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0F3" w:rsidRPr="00212DD3" w:rsidRDefault="006B60F3" w:rsidP="006B6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И.о. руководителя</w:t>
      </w: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Е.В. Васильева                                   </w:t>
      </w:r>
    </w:p>
    <w:p w:rsidR="006B60F3" w:rsidRDefault="006B60F3" w:rsidP="006B60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</w:t>
      </w:r>
      <w:proofErr w:type="gramEnd"/>
      <w:r w:rsidRPr="00CB5746">
        <w:rPr>
          <w:sz w:val="28"/>
          <w:szCs w:val="28"/>
        </w:rPr>
        <w:t xml:space="preserve"> район</w:t>
      </w:r>
    </w:p>
    <w:p w:rsidR="006B60F3" w:rsidRDefault="006F0683" w:rsidP="00F27F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6B60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4172" w:rsidRPr="004C606C" w:rsidRDefault="006B60F3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4172"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994172" w:rsidRPr="004C606C" w:rsidRDefault="006B60F3" w:rsidP="006B60F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4172" w:rsidRPr="004C60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94172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   района «Оловяннинский район»</w:t>
      </w:r>
    </w:p>
    <w:p w:rsidR="00994172" w:rsidRPr="00AF05E7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2DD3">
        <w:rPr>
          <w:rFonts w:ascii="Times New Roman" w:hAnsi="Times New Roman" w:cs="Times New Roman"/>
          <w:sz w:val="28"/>
          <w:szCs w:val="28"/>
        </w:rPr>
        <w:t xml:space="preserve"> ____________ 2016г № _____</w:t>
      </w:r>
    </w:p>
    <w:p w:rsidR="00994172" w:rsidRPr="004C606C" w:rsidRDefault="00994172" w:rsidP="00994172">
      <w:pPr>
        <w:pStyle w:val="2"/>
        <w:ind w:left="4536" w:firstLine="0"/>
        <w:rPr>
          <w:color w:val="auto"/>
        </w:rPr>
      </w:pPr>
    </w:p>
    <w:p w:rsidR="00994172" w:rsidRPr="004C606C" w:rsidRDefault="00994172" w:rsidP="00F27F43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994172" w:rsidRPr="004C606C" w:rsidRDefault="00994172" w:rsidP="001B2E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94172" w:rsidRPr="004C606C" w:rsidRDefault="00994172" w:rsidP="001B2ECF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9716F" w:rsidRPr="00271210" w:rsidRDefault="00994172" w:rsidP="00271210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0" w:name="_Toc121134546"/>
    </w:p>
    <w:p w:rsidR="0049716F" w:rsidRDefault="0049716F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10" w:rsidRDefault="00271210" w:rsidP="0027121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71210" w:rsidRDefault="00271210" w:rsidP="00271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271210" w:rsidRP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96E01" w:rsidRDefault="00696E01" w:rsidP="00110D75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Оловяннинский район, </w:t>
      </w:r>
      <w:r w:rsidR="00C351CB"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8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5) в информационно-телекоммуникационной сети «Интернет» на официальном сайте администрации МР «Оловяннинский район»: </w:t>
      </w:r>
      <w:r w:rsidR="00A82819"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9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696E01" w:rsidRPr="00A11D06" w:rsidRDefault="00696E01" w:rsidP="00696E01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</w:t>
      </w:r>
      <w:proofErr w:type="gramStart"/>
      <w:r w:rsidRPr="00A11D06">
        <w:rPr>
          <w:sz w:val="28"/>
          <w:szCs w:val="28"/>
        </w:rPr>
        <w:t>г</w:t>
      </w:r>
      <w:proofErr w:type="gramEnd"/>
      <w:r w:rsidRPr="00A11D06">
        <w:rPr>
          <w:sz w:val="28"/>
          <w:szCs w:val="28"/>
        </w:rPr>
        <w:t>. Чита, ул. Бутина, 72;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10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r>
        <w:rPr>
          <w:sz w:val="28"/>
          <w:szCs w:val="28"/>
        </w:rPr>
        <w:t xml:space="preserve">Оловяннинский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96E01" w:rsidRPr="001B2ECF" w:rsidRDefault="00696E01" w:rsidP="00271210">
      <w:pPr>
        <w:ind w:firstLine="567"/>
        <w:jc w:val="both"/>
        <w:rPr>
          <w:sz w:val="28"/>
          <w:szCs w:val="28"/>
        </w:rPr>
      </w:pPr>
    </w:p>
    <w:p w:rsidR="00271210" w:rsidRDefault="00271210" w:rsidP="00C351CB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 w:rsidR="00F27F43"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>.00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="00696E01" w:rsidRPr="00A11D06">
        <w:rPr>
          <w:sz w:val="28"/>
          <w:szCs w:val="28"/>
        </w:rPr>
        <w:t>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 xml:space="preserve">.00 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696E01" w:rsidRPr="00780B6C" w:rsidRDefault="00F27F43" w:rsidP="00696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перерыва на обед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71210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696E01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271210" w:rsidRPr="00DF3ABA" w:rsidRDefault="00271210" w:rsidP="0027121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994172" w:rsidRPr="004C606C" w:rsidRDefault="00994172" w:rsidP="0027121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4172" w:rsidRPr="004C606C" w:rsidRDefault="00994172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1) продление срока действия разрешения на строительство;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2) направление заявителю отказа в предоставлении муниципальной услуги.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 Сроки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1551" w:rsidRPr="00DF3ABA" w:rsidRDefault="00FA1551" w:rsidP="00FA1551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1551" w:rsidRPr="00DF3ABA" w:rsidRDefault="00FA1551" w:rsidP="00FA1551">
      <w:pPr>
        <w:rPr>
          <w:sz w:val="28"/>
          <w:szCs w:val="28"/>
        </w:rPr>
      </w:pPr>
      <w:bookmarkStart w:id="1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1"/>
      <w:proofErr w:type="gramEnd"/>
    </w:p>
    <w:bookmarkEnd w:id="0"/>
    <w:p w:rsidR="00994172" w:rsidRPr="004C606C" w:rsidRDefault="00994172" w:rsidP="00FA1551">
      <w:pPr>
        <w:rPr>
          <w:b/>
          <w:bCs/>
          <w:sz w:val="28"/>
          <w:szCs w:val="28"/>
        </w:rPr>
      </w:pP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</w:t>
      </w:r>
      <w:r w:rsidRPr="004C606C">
        <w:rPr>
          <w:sz w:val="28"/>
          <w:szCs w:val="28"/>
        </w:rPr>
        <w:lastRenderedPageBreak/>
        <w:t>Федерации» («Собрание законодательства РФ», 6 октября 2003 года, № 40, ст.3822);</w:t>
      </w:r>
    </w:p>
    <w:p w:rsidR="00212DD3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212DD3" w:rsidRPr="004C606C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3106B" w:rsidRPr="00A3106B" w:rsidRDefault="00A3106B" w:rsidP="00A3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94172" w:rsidRDefault="00994172" w:rsidP="00851D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FA1551" w:rsidRDefault="00994172" w:rsidP="006F06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«Оловяннинский район» опубликован на</w:t>
      </w:r>
      <w:r w:rsidR="006F0683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официальном сайте</w:t>
      </w:r>
      <w:r w:rsidR="006F0683">
        <w:rPr>
          <w:sz w:val="28"/>
          <w:szCs w:val="28"/>
        </w:rPr>
        <w:t xml:space="preserve"> </w:t>
      </w:r>
      <w:hyperlink r:id="rId11" w:history="1">
        <w:r w:rsidR="00C351CB">
          <w:rPr>
            <w:rStyle w:val="ae"/>
            <w:sz w:val="28"/>
            <w:szCs w:val="28"/>
            <w:lang w:val="en-US"/>
          </w:rPr>
          <w:t>www</w:t>
        </w:r>
        <w:r w:rsidR="006F0683">
          <w:rPr>
            <w:rStyle w:val="ae"/>
            <w:sz w:val="28"/>
            <w:szCs w:val="28"/>
          </w:rPr>
          <w:t>:</w:t>
        </w:r>
        <w:proofErr w:type="spellStart"/>
        <w:r w:rsidR="006F0683" w:rsidRPr="009534E2">
          <w:rPr>
            <w:rStyle w:val="ae"/>
            <w:sz w:val="28"/>
            <w:szCs w:val="28"/>
          </w:rPr>
          <w:t>оловян</w:t>
        </w:r>
        <w:proofErr w:type="gramStart"/>
        <w:r w:rsidR="006F0683" w:rsidRPr="009534E2">
          <w:rPr>
            <w:rStyle w:val="ae"/>
            <w:sz w:val="28"/>
            <w:szCs w:val="28"/>
          </w:rPr>
          <w:t>.з</w:t>
        </w:r>
        <w:proofErr w:type="gramEnd"/>
        <w:r w:rsidR="006F0683"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994172" w:rsidRPr="004C606C" w:rsidRDefault="007D15A4" w:rsidP="007D15A4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1) </w:t>
      </w:r>
      <w:r w:rsidRPr="004C606C">
        <w:rPr>
          <w:b w:val="0"/>
          <w:bCs w:val="0"/>
          <w:color w:val="auto"/>
          <w:sz w:val="28"/>
          <w:szCs w:val="28"/>
        </w:rPr>
        <w:t xml:space="preserve">заявление о выдаче разрешения по форме согласно </w:t>
      </w:r>
      <w:r w:rsidRPr="00D54E1A">
        <w:rPr>
          <w:color w:val="auto"/>
          <w:sz w:val="28"/>
          <w:szCs w:val="28"/>
        </w:rPr>
        <w:t>(приложению №1)</w:t>
      </w:r>
      <w:r>
        <w:rPr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606C">
        <w:rPr>
          <w:sz w:val="28"/>
          <w:szCs w:val="28"/>
        </w:rPr>
        <w:t>Заявление может быть направлено по почте или доставлено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606C">
        <w:rPr>
          <w:sz w:val="28"/>
          <w:szCs w:val="28"/>
        </w:rPr>
        <w:t xml:space="preserve">Заявление заполняется по форме, установленной </w:t>
      </w:r>
      <w:r w:rsidRPr="00D54E1A">
        <w:rPr>
          <w:b/>
          <w:bCs/>
          <w:sz w:val="28"/>
          <w:szCs w:val="28"/>
        </w:rPr>
        <w:t>(</w:t>
      </w:r>
      <w:hyperlink r:id="rId12" w:history="1">
        <w:r w:rsidRPr="00D54E1A">
          <w:rPr>
            <w:b/>
            <w:bCs/>
            <w:sz w:val="28"/>
            <w:szCs w:val="28"/>
          </w:rPr>
          <w:t>приложением 2</w:t>
        </w:r>
      </w:hyperlink>
      <w:r w:rsidRPr="00D54E1A">
        <w:rPr>
          <w:b/>
          <w:bCs/>
        </w:rPr>
        <w:t>)</w:t>
      </w:r>
      <w:r w:rsidRPr="004C606C">
        <w:rPr>
          <w:sz w:val="28"/>
          <w:szCs w:val="28"/>
        </w:rPr>
        <w:t xml:space="preserve">, подписывается собственноручно </w:t>
      </w:r>
      <w:r w:rsidRPr="004C606C">
        <w:rPr>
          <w:i/>
          <w:sz w:val="28"/>
          <w:szCs w:val="28"/>
        </w:rPr>
        <w:t>(в случае, если заявитель физическое лицо</w:t>
      </w:r>
      <w:r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4C606C">
          <w:rPr>
            <w:sz w:val="28"/>
            <w:szCs w:val="28"/>
          </w:rPr>
          <w:t>закона</w:t>
        </w:r>
      </w:hyperlink>
      <w:r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4" w:history="1">
        <w:r w:rsidRPr="004C606C">
          <w:rPr>
            <w:sz w:val="28"/>
            <w:szCs w:val="28"/>
          </w:rPr>
          <w:t>статьями 21.1</w:t>
        </w:r>
      </w:hyperlink>
      <w:r w:rsidRPr="004C606C">
        <w:rPr>
          <w:sz w:val="28"/>
          <w:szCs w:val="28"/>
        </w:rPr>
        <w:t xml:space="preserve"> и </w:t>
      </w:r>
      <w:hyperlink r:id="rId15" w:history="1">
        <w:r w:rsidRPr="004C606C">
          <w:rPr>
            <w:sz w:val="28"/>
            <w:szCs w:val="28"/>
          </w:rPr>
          <w:t>21.2</w:t>
        </w:r>
      </w:hyperlink>
      <w:r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C606C">
        <w:rPr>
          <w:sz w:val="28"/>
          <w:szCs w:val="28"/>
        </w:rPr>
        <w:t>д</w:t>
      </w:r>
      <w:proofErr w:type="spellEnd"/>
      <w:r w:rsidRPr="004C606C">
        <w:rPr>
          <w:sz w:val="28"/>
          <w:szCs w:val="28"/>
        </w:rPr>
        <w:t xml:space="preserve">) сведения об инженерном оборудовании, сводный план сетей инженерно-технического обеспечения с обозначением мест подключения </w:t>
      </w:r>
      <w:r w:rsidRPr="004C606C">
        <w:rPr>
          <w:sz w:val="28"/>
          <w:szCs w:val="28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590085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90085" w:rsidRPr="004C606C" w:rsidRDefault="00590085" w:rsidP="00590085">
      <w:pPr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 w:rsidRPr="006B60F3">
        <w:rPr>
          <w:sz w:val="28"/>
          <w:szCs w:val="28"/>
        </w:rPr>
        <w:t>з</w:t>
      </w:r>
      <w:proofErr w:type="spellEnd"/>
      <w:r w:rsidRPr="006B60F3">
        <w:rPr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  <w:r w:rsidRPr="006B60F3">
        <w:rPr>
          <w:sz w:val="28"/>
          <w:szCs w:val="28"/>
        </w:rPr>
        <w:t xml:space="preserve"> (</w:t>
      </w:r>
      <w:proofErr w:type="spellStart"/>
      <w:r w:rsidRPr="006B60F3">
        <w:rPr>
          <w:sz w:val="28"/>
          <w:szCs w:val="28"/>
        </w:rPr>
        <w:t>пп</w:t>
      </w:r>
      <w:proofErr w:type="spellEnd"/>
      <w:r w:rsidRPr="006B60F3">
        <w:rPr>
          <w:sz w:val="28"/>
          <w:szCs w:val="28"/>
        </w:rPr>
        <w:t>. "</w:t>
      </w:r>
      <w:proofErr w:type="spellStart"/>
      <w:r w:rsidRPr="006B60F3">
        <w:rPr>
          <w:sz w:val="28"/>
          <w:szCs w:val="28"/>
        </w:rPr>
        <w:t>з</w:t>
      </w:r>
      <w:proofErr w:type="spellEnd"/>
      <w:r w:rsidRPr="006B60F3">
        <w:rPr>
          <w:sz w:val="28"/>
          <w:szCs w:val="28"/>
        </w:rPr>
        <w:t xml:space="preserve">"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28.11.2015 N 339-ФЗ)</w:t>
      </w:r>
      <w:r w:rsidRPr="00785722">
        <w:rPr>
          <w:sz w:val="28"/>
          <w:szCs w:val="28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590085" w:rsidRPr="00785722" w:rsidRDefault="00590085" w:rsidP="00590085">
      <w:pPr>
        <w:contextualSpacing/>
        <w:jc w:val="both"/>
        <w:rPr>
          <w:sz w:val="28"/>
          <w:szCs w:val="28"/>
        </w:rPr>
      </w:pPr>
      <w:r w:rsidRPr="006B60F3">
        <w:rPr>
          <w:sz w:val="28"/>
          <w:szCs w:val="28"/>
        </w:rPr>
        <w:t xml:space="preserve">11) заключение, предусмотренное частью 3.5 статьи 49 настоящего Кодекса, в случае использования модифицированной проектной документации; (п. 4.1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03.07.2016 N 368-ФЗ)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</w:r>
      <w:r w:rsidRPr="00007190">
        <w:rPr>
          <w:b/>
          <w:sz w:val="28"/>
          <w:szCs w:val="28"/>
        </w:rPr>
        <w:t>*</w:t>
      </w:r>
      <w:r w:rsidRPr="004C606C">
        <w:rPr>
          <w:sz w:val="28"/>
          <w:szCs w:val="28"/>
        </w:rPr>
        <w:t>;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590085" w:rsidRPr="00007190" w:rsidRDefault="00590085" w:rsidP="00590085">
      <w:pPr>
        <w:pStyle w:val="a5"/>
        <w:spacing w:line="240" w:lineRule="auto"/>
        <w:ind w:firstLine="0"/>
        <w:jc w:val="both"/>
        <w:rPr>
          <w:b w:val="0"/>
          <w:sz w:val="28"/>
          <w:szCs w:val="28"/>
        </w:rPr>
      </w:pPr>
      <w:r w:rsidRPr="006B60F3">
        <w:rPr>
          <w:b w:val="0"/>
          <w:sz w:val="28"/>
          <w:szCs w:val="28"/>
        </w:rPr>
        <w:t>14)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r w:rsidRPr="00007190">
        <w:rPr>
          <w:b w:val="0"/>
          <w:sz w:val="28"/>
          <w:szCs w:val="28"/>
        </w:rPr>
        <w:t xml:space="preserve"> </w:t>
      </w:r>
    </w:p>
    <w:p w:rsidR="00590085" w:rsidRPr="00007190" w:rsidRDefault="00590085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>15)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Pr="00785722">
        <w:rPr>
          <w:rStyle w:val="apple-converted-space"/>
          <w:b w:val="0"/>
          <w:sz w:val="28"/>
          <w:szCs w:val="28"/>
        </w:rPr>
        <w:t> 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7190">
        <w:rPr>
          <w:sz w:val="28"/>
          <w:szCs w:val="28"/>
        </w:rPr>
        <w:t>*</w:t>
      </w:r>
      <w:r w:rsidRPr="004C606C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6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4C606C">
        <w:rPr>
          <w:sz w:val="28"/>
          <w:szCs w:val="28"/>
        </w:rPr>
        <w:lastRenderedPageBreak/>
        <w:t>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590085" w:rsidRDefault="00244099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16) </w:t>
      </w:r>
      <w:r w:rsidR="00590085"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2E60B8" w:rsidRPr="00501D91" w:rsidRDefault="006B60F3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 xml:space="preserve">- </w:t>
      </w:r>
      <w:r w:rsidR="00ED4AB2" w:rsidRPr="006B60F3">
        <w:rPr>
          <w:b w:val="0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244099" w:rsidRPr="006B60F3">
        <w:rPr>
          <w:b w:val="0"/>
          <w:sz w:val="28"/>
          <w:szCs w:val="28"/>
        </w:rPr>
        <w:t>.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7D15A4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заявление о выдаче разрешения на строительство в уполномоченные на выдачу разрешений на строительство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994172" w:rsidRPr="00C351CB" w:rsidRDefault="00A82819" w:rsidP="00C35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="00994172"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172" w:rsidRPr="00C351CB" w:rsidRDefault="001E618C" w:rsidP="00C351CB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</w:t>
      </w:r>
      <w:r w:rsidR="00B46F2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3.</w:t>
      </w:r>
      <w:r w:rsidR="00994172"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94172" w:rsidRPr="004C606C" w:rsidRDefault="00B46F26" w:rsidP="00B4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4172" w:rsidRPr="004C606C">
        <w:rPr>
          <w:sz w:val="28"/>
          <w:szCs w:val="28"/>
        </w:rPr>
        <w:t>правоустанавливающие документы на земельный участок;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172"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994172" w:rsidRPr="004C606C" w:rsidRDefault="001E618C" w:rsidP="00145A4E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94172" w:rsidRPr="004C606C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994172" w:rsidRPr="004C606C" w:rsidRDefault="001E618C" w:rsidP="00145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</w:t>
      </w:r>
      <w:r w:rsidR="00145A4E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172" w:rsidRDefault="00994172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</w:t>
      </w:r>
      <w:r w:rsidRPr="004C606C">
        <w:rPr>
          <w:sz w:val="28"/>
          <w:szCs w:val="28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C606C">
          <w:rPr>
            <w:sz w:val="28"/>
            <w:szCs w:val="28"/>
          </w:rPr>
          <w:t>части 6</w:t>
        </w:r>
        <w:proofErr w:type="gramEnd"/>
        <w:r w:rsidRPr="004C606C">
          <w:rPr>
            <w:sz w:val="28"/>
            <w:szCs w:val="28"/>
          </w:rPr>
          <w:t xml:space="preserve">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145A4E" w:rsidRPr="004C606C" w:rsidRDefault="00145A4E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426" w:rsidRPr="00DF3ABA" w:rsidRDefault="00841426" w:rsidP="001E618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 w:rsidR="001E618C"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8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bookmarkStart w:id="2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2"/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</w:t>
      </w:r>
      <w:r w:rsidRPr="00DF3ABA">
        <w:rPr>
          <w:sz w:val="28"/>
          <w:szCs w:val="28"/>
        </w:rPr>
        <w:lastRenderedPageBreak/>
        <w:t>входа в каждое помещение размещается табличка с наименованием помещения (зал ожидания, приема/выдачи документов и т.д.).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41426" w:rsidRDefault="00841426" w:rsidP="00841426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841426" w:rsidRPr="00C351CB" w:rsidRDefault="00841426" w:rsidP="00C3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841426" w:rsidRPr="00DF3ABA" w:rsidRDefault="00841426" w:rsidP="00841426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 информационными стендами, на которых размещается текстовая информация;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1426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19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6F0683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20" w:history="1">
        <w:r w:rsidR="00696E01" w:rsidRPr="00293B5D">
          <w:rPr>
            <w:rStyle w:val="ae"/>
            <w:sz w:val="28"/>
            <w:szCs w:val="28"/>
          </w:rPr>
          <w:t>www</w:t>
        </w:r>
        <w:r w:rsidR="00696E01"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994172" w:rsidRPr="00657C67" w:rsidRDefault="00994172" w:rsidP="00C351CB">
      <w:pPr>
        <w:jc w:val="both"/>
        <w:rPr>
          <w:sz w:val="28"/>
          <w:szCs w:val="28"/>
        </w:rPr>
      </w:pP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411"/>
        <w:gridCol w:w="1134"/>
        <w:gridCol w:w="863"/>
        <w:gridCol w:w="697"/>
        <w:gridCol w:w="1018"/>
        <w:gridCol w:w="2667"/>
        <w:gridCol w:w="1418"/>
      </w:tblGrid>
      <w:tr w:rsidR="00994172" w:rsidRPr="004C606C" w:rsidTr="00C351CB">
        <w:trPr>
          <w:trHeight w:val="1710"/>
        </w:trPr>
        <w:tc>
          <w:tcPr>
            <w:tcW w:w="424" w:type="dxa"/>
            <w:vMerge w:val="restart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№</w:t>
            </w:r>
          </w:p>
        </w:tc>
        <w:tc>
          <w:tcPr>
            <w:tcW w:w="2411" w:type="dxa"/>
            <w:vMerge w:val="restart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78" w:type="dxa"/>
            <w:gridSpan w:val="3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4085" w:type="dxa"/>
            <w:gridSpan w:val="2"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4172" w:rsidRPr="004C606C" w:rsidTr="00C351CB">
        <w:trPr>
          <w:trHeight w:val="142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994172" w:rsidRPr="004C606C" w:rsidTr="00C351CB">
        <w:trPr>
          <w:trHeight w:val="87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994172" w:rsidRPr="004C606C" w:rsidTr="00C351CB">
        <w:trPr>
          <w:trHeight w:val="1132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994172" w:rsidRPr="004C606C" w:rsidRDefault="00994172" w:rsidP="00991A47">
            <w:pPr>
              <w:jc w:val="both"/>
            </w:pP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2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</w:tr>
      <w:tr w:rsidR="00994172" w:rsidRPr="004C606C" w:rsidTr="00C351CB">
        <w:trPr>
          <w:trHeight w:val="556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3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4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5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6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7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8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9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</w:tr>
    </w:tbl>
    <w:p w:rsidR="001E618C" w:rsidRPr="00096356" w:rsidRDefault="00696E01" w:rsidP="00696E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618C"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8C"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1E618C" w:rsidRPr="00C351CB" w:rsidRDefault="001E618C" w:rsidP="00C351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lastRenderedPageBreak/>
        <w:t>1) прием и регистрация заявления и документов, представленных заявителем;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3.2.5. Руководитель назначает ответственного специалиста за проведение экспертизы представленных документов, направление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межведомственных запросов и в течение двух дней направляет ему комплект документов.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 w:rsidR="00EC694B">
        <w:rPr>
          <w:rFonts w:asciiTheme="majorBidi" w:hAnsiTheme="majorBidi" w:cstheme="majorBidi"/>
          <w:sz w:val="28"/>
          <w:szCs w:val="28"/>
        </w:rPr>
        <w:t xml:space="preserve">разрешением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21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 w:rsidR="00EC694B"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реконструкцию, капитальный ремонт объектов капитального строительства</w:t>
      </w:r>
    </w:p>
    <w:p w:rsidR="001E618C" w:rsidRPr="001E618C" w:rsidRDefault="001E618C" w:rsidP="001E618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1E618C" w:rsidRPr="001E618C" w:rsidRDefault="001E618C" w:rsidP="00EC694B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либо уведомление об отказе в предоставление муниципальной услуги и направляет в отдел  управление делами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администрации муниципального района «Оловяннинский район» для регистрации.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E618C" w:rsidRPr="001E618C" w:rsidRDefault="001E618C" w:rsidP="00EC694B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3.6. Выдача заявителю 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 w:rsidR="00EC694B"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="00EC694B"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изготавливается в двух экземплярах, один из которых выдается заявителю, один хранится у Исполнителя.</w:t>
      </w:r>
    </w:p>
    <w:p w:rsidR="001E618C" w:rsidRPr="001E618C" w:rsidRDefault="001E618C" w:rsidP="00EC694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B75745" w:rsidRPr="00657C67" w:rsidRDefault="00B75745" w:rsidP="00C351CB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3" w:name="sub_52"/>
    </w:p>
    <w:p w:rsidR="001E618C" w:rsidRPr="00C351CB" w:rsidRDefault="001E618C" w:rsidP="00C351CB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4" w:name="sub_500"/>
      <w:r w:rsidRPr="001E618C">
        <w:rPr>
          <w:rFonts w:asciiTheme="majorBidi" w:hAnsiTheme="majorBidi" w:cstheme="majorBidi"/>
          <w:sz w:val="28"/>
          <w:szCs w:val="28"/>
        </w:rPr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E618C" w:rsidRPr="00657C67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4"/>
    </w:p>
    <w:p w:rsidR="001E618C" w:rsidRPr="00096356" w:rsidRDefault="001E618C" w:rsidP="001E61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618C" w:rsidRPr="00096356" w:rsidRDefault="001E618C" w:rsidP="001E618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</w:t>
      </w:r>
      <w:r w:rsidRPr="00096356">
        <w:rPr>
          <w:sz w:val="28"/>
          <w:szCs w:val="28"/>
          <w:lang w:eastAsia="en-US"/>
        </w:rPr>
        <w:lastRenderedPageBreak/>
        <w:t xml:space="preserve">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E618C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1E618C" w:rsidRPr="00096356" w:rsidRDefault="001E618C" w:rsidP="001E618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57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E618C" w:rsidRPr="00096356" w:rsidRDefault="001E618C" w:rsidP="001E618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5745">
        <w:rPr>
          <w:sz w:val="28"/>
          <w:szCs w:val="28"/>
        </w:rPr>
        <w:t xml:space="preserve"> </w:t>
      </w:r>
      <w:hyperlink r:id="rId22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3" w:history="1">
        <w:r w:rsidR="00B75745" w:rsidRPr="00B75745">
          <w:rPr>
            <w:rStyle w:val="ae"/>
            <w:sz w:val="28"/>
            <w:szCs w:val="28"/>
          </w:rPr>
          <w:t>www.</w:t>
        </w:r>
        <w:r w:rsidR="00B75745"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4" w:history="1">
        <w:r w:rsidR="00B75745" w:rsidRPr="00293B5D">
          <w:rPr>
            <w:rStyle w:val="ae"/>
            <w:sz w:val="28"/>
            <w:szCs w:val="28"/>
            <w:lang w:val="en-US"/>
          </w:rPr>
          <w:t>www</w:t>
        </w:r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r w:rsidR="00B75745" w:rsidRPr="00293B5D">
          <w:rPr>
            <w:rStyle w:val="ae"/>
            <w:sz w:val="28"/>
            <w:szCs w:val="28"/>
            <w:lang w:val="en-US"/>
          </w:rPr>
          <w:t>e</w:t>
        </w:r>
        <w:r w:rsidR="00B75745" w:rsidRPr="00293B5D">
          <w:rPr>
            <w:rStyle w:val="ae"/>
            <w:sz w:val="28"/>
            <w:szCs w:val="28"/>
          </w:rPr>
          <w:t>-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096356">
        <w:rPr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  <w:proofErr w:type="gramEnd"/>
    </w:p>
    <w:p w:rsidR="001E618C" w:rsidRPr="00096356" w:rsidRDefault="001E618C" w:rsidP="001E618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E618C" w:rsidRPr="00096356" w:rsidRDefault="001E618C" w:rsidP="001E6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618C" w:rsidRPr="00096356" w:rsidRDefault="001E618C" w:rsidP="001E618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5.7.Порядок обжалования решения по жалобе</w:t>
      </w:r>
    </w:p>
    <w:p w:rsidR="001E618C" w:rsidRDefault="001E618C" w:rsidP="001E618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1E618C" w:rsidRPr="00096356" w:rsidRDefault="001E618C" w:rsidP="001E61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E618C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C351CB" w:rsidRPr="00C351CB">
        <w:rPr>
          <w:sz w:val="28"/>
          <w:szCs w:val="28"/>
        </w:rPr>
        <w:t xml:space="preserve"> </w:t>
      </w:r>
      <w:hyperlink r:id="rId25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="00B75745">
        <w:t xml:space="preserve"> 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hyperlink w:history="1">
        <w:r w:rsidR="00B75745"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</w:t>
      </w:r>
      <w:proofErr w:type="gramStart"/>
      <w:r w:rsidRPr="00B75745">
        <w:rPr>
          <w:color w:val="1F497D" w:themeColor="text2"/>
          <w:sz w:val="28"/>
          <w:szCs w:val="28"/>
          <w:u w:val="single"/>
        </w:rPr>
        <w:t>.з</w:t>
      </w:r>
      <w:proofErr w:type="gramEnd"/>
      <w:r w:rsidRPr="00B75745">
        <w:rPr>
          <w:color w:val="1F497D" w:themeColor="text2"/>
          <w:sz w:val="28"/>
          <w:szCs w:val="28"/>
          <w:u w:val="single"/>
        </w:rPr>
        <w:t>абайкальскийкрай.рф</w:t>
      </w:r>
      <w:r w:rsidRPr="00096356">
        <w:rPr>
          <w:sz w:val="28"/>
          <w:szCs w:val="28"/>
        </w:rPr>
        <w:t>, а также может быть сообщена заявителю при личном контакте с использованием почтовой, телефонной связи, посредством электронной почты.</w:t>
      </w:r>
      <w:bookmarkEnd w:id="3"/>
    </w:p>
    <w:p w:rsidR="001E618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Pr="00657C67" w:rsidRDefault="00EC694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7F43" w:rsidRPr="00657C67" w:rsidRDefault="00F27F43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18C" w:rsidRPr="004C606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bookmarkStart w:id="5" w:name="sub_51"/>
      <w:r w:rsidRPr="004C606C">
        <w:rPr>
          <w:sz w:val="28"/>
          <w:szCs w:val="28"/>
        </w:rPr>
        <w:lastRenderedPageBreak/>
        <w:t>Приложение № 1</w:t>
      </w: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r w:rsidRPr="004C606C">
        <w:rPr>
          <w:bCs/>
          <w:sz w:val="28"/>
          <w:szCs w:val="28"/>
        </w:rPr>
        <w:t>к административному регламенту</w:t>
      </w:r>
      <w:r w:rsidRPr="004C606C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4C606C" w:rsidRDefault="00B75745" w:rsidP="00B75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63D54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 МКУ КУМИ</w:t>
      </w:r>
    </w:p>
    <w:p w:rsidR="00994172" w:rsidRPr="004C606C" w:rsidRDefault="00963138" w:rsidP="007E18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57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(ФИО председателя)</w:t>
      </w:r>
    </w:p>
    <w:p w:rsidR="00994172" w:rsidRPr="004C606C" w:rsidRDefault="00B75745" w:rsidP="00B757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4172" w:rsidRPr="004C606C">
        <w:rPr>
          <w:sz w:val="28"/>
          <w:szCs w:val="28"/>
        </w:rPr>
        <w:t>От ___________________________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</w:rPr>
      </w:pPr>
    </w:p>
    <w:p w:rsidR="00994172" w:rsidRPr="004C606C" w:rsidRDefault="00DC609C" w:rsidP="00DC609C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</w:t>
      </w:r>
      <w:r w:rsidR="00C351CB">
        <w:rPr>
          <w:sz w:val="28"/>
          <w:szCs w:val="28"/>
        </w:rPr>
        <w:t xml:space="preserve">                </w:t>
      </w:r>
      <w:r w:rsidR="00C351CB" w:rsidRPr="00657C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94172" w:rsidRPr="004C606C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994172" w:rsidRPr="00DC609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994172" w:rsidRPr="004C606C" w:rsidRDefault="00C351CB" w:rsidP="00C351CB">
      <w:pPr>
        <w:contextualSpacing/>
        <w:jc w:val="center"/>
        <w:rPr>
          <w:sz w:val="28"/>
          <w:szCs w:val="28"/>
          <w:vertAlign w:val="subscript"/>
        </w:rPr>
      </w:pPr>
      <w:r w:rsidRPr="00657C67">
        <w:rPr>
          <w:sz w:val="28"/>
          <w:szCs w:val="28"/>
        </w:rPr>
        <w:t xml:space="preserve">                                                                        </w:t>
      </w:r>
      <w:r w:rsidR="00994172" w:rsidRPr="004C606C">
        <w:rPr>
          <w:sz w:val="28"/>
          <w:szCs w:val="28"/>
        </w:rPr>
        <w:t xml:space="preserve">_____________________________ 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B75745" w:rsidRDefault="00994172" w:rsidP="007E186A">
      <w:pPr>
        <w:contextualSpacing/>
        <w:jc w:val="center"/>
        <w:rPr>
          <w:b/>
          <w:bCs/>
          <w:sz w:val="28"/>
          <w:szCs w:val="28"/>
        </w:rPr>
      </w:pPr>
      <w:r w:rsidRPr="00B75745">
        <w:rPr>
          <w:b/>
          <w:bCs/>
          <w:sz w:val="28"/>
          <w:szCs w:val="28"/>
        </w:rPr>
        <w:t>Заявление</w:t>
      </w:r>
      <w:r w:rsidRPr="00B75745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994172" w:rsidRPr="004C606C" w:rsidRDefault="00994172" w:rsidP="007E186A">
      <w:pP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tabs>
          <w:tab w:val="center" w:pos="2474"/>
          <w:tab w:val="left" w:pos="3969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94172" w:rsidRPr="004C606C" w:rsidTr="00991A47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lastRenderedPageBreak/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Дополнительно информируем:</w:t>
      </w:r>
    </w:p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94172" w:rsidRPr="004C606C" w:rsidTr="00991A4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94172" w:rsidRPr="004C606C" w:rsidTr="00991A4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994172" w:rsidRPr="004C606C" w:rsidRDefault="00994172" w:rsidP="007E186A">
      <w:pPr>
        <w:tabs>
          <w:tab w:val="center" w:pos="2835"/>
          <w:tab w:val="left" w:pos="4536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994172" w:rsidRPr="004C606C" w:rsidRDefault="00994172" w:rsidP="007E186A">
      <w:pPr>
        <w:tabs>
          <w:tab w:val="left" w:pos="3402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94172" w:rsidRPr="004C606C" w:rsidTr="00991A47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94172" w:rsidRPr="004C606C" w:rsidTr="00991A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C606C">
        <w:rPr>
          <w:sz w:val="22"/>
          <w:szCs w:val="22"/>
        </w:rPr>
        <w:t>в</w:t>
      </w:r>
      <w:proofErr w:type="gramEnd"/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94172" w:rsidRPr="004C606C" w:rsidTr="00991A4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B75745" w:rsidRDefault="00994172" w:rsidP="00B75745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94172" w:rsidRPr="004C606C" w:rsidRDefault="00994172" w:rsidP="007E186A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60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4172" w:rsidRPr="004C606C" w:rsidRDefault="00994172" w:rsidP="00B7574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</w:t>
      </w:r>
    </w:p>
    <w:p w:rsidR="00994172" w:rsidRPr="00F27F43" w:rsidRDefault="00994172" w:rsidP="00F27F4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4C606C">
        <w:rPr>
          <w:rFonts w:ascii="Times New Roman" w:hAnsi="Times New Roman" w:cs="Times New Roman"/>
          <w:sz w:val="28"/>
          <w:szCs w:val="28"/>
        </w:rPr>
        <w:t>».</w:t>
      </w:r>
    </w:p>
    <w:bookmarkEnd w:id="5"/>
    <w:p w:rsidR="00994172" w:rsidRPr="004C606C" w:rsidRDefault="00994172" w:rsidP="007E186A">
      <w:pPr>
        <w:contextualSpacing/>
      </w:pPr>
    </w:p>
    <w:tbl>
      <w:tblPr>
        <w:tblW w:w="9956" w:type="dxa"/>
        <w:tblInd w:w="108" w:type="dxa"/>
        <w:tblLook w:val="01E0"/>
      </w:tblPr>
      <w:tblGrid>
        <w:gridCol w:w="4978"/>
        <w:gridCol w:w="4978"/>
      </w:tblGrid>
      <w:tr w:rsidR="00B75745" w:rsidRPr="004C606C" w:rsidTr="00C351CB">
        <w:trPr>
          <w:trHeight w:val="1776"/>
        </w:trPr>
        <w:tc>
          <w:tcPr>
            <w:tcW w:w="4978" w:type="dxa"/>
          </w:tcPr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Default="00B75745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C351CB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78" w:type="dxa"/>
          </w:tcPr>
          <w:p w:rsidR="00B75745" w:rsidRPr="00DC609C" w:rsidRDefault="00B75745" w:rsidP="0059008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sz w:val="24"/>
                <w:szCs w:val="24"/>
              </w:rPr>
              <w:t>Приложение № 2</w:t>
            </w:r>
          </w:p>
          <w:p w:rsidR="00B75745" w:rsidRPr="00DC609C" w:rsidRDefault="00B75745" w:rsidP="00590085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bCs/>
                <w:sz w:val="24"/>
                <w:szCs w:val="24"/>
              </w:rPr>
              <w:t>к административному регламенту</w:t>
            </w:r>
            <w:r w:rsidRPr="00DC609C">
              <w:rPr>
                <w:sz w:val="24"/>
                <w:szCs w:val="24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B75745" w:rsidRPr="004C606C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B75745" w:rsidRPr="004C606C" w:rsidRDefault="00B75745" w:rsidP="00B75745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B75745" w:rsidRPr="00657C67" w:rsidRDefault="00B75745" w:rsidP="00C351CB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12"/>
        <w:gridCol w:w="4759"/>
      </w:tblGrid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B75745" w:rsidRPr="004C606C" w:rsidRDefault="007000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40" style="position:absolute;left:0;text-align:left;z-index:251675648" from="234.2pt,10.95pt" to="234.2pt,28.9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принимается и регистрируется</w:t>
            </w:r>
            <w:r>
              <w:rPr>
                <w:sz w:val="22"/>
                <w:szCs w:val="22"/>
              </w:rPr>
              <w:t xml:space="preserve"> специалистом Исполнителя </w:t>
            </w:r>
            <w:r w:rsidRPr="004C606C">
              <w:rPr>
                <w:sz w:val="22"/>
                <w:szCs w:val="22"/>
              </w:rPr>
              <w:t xml:space="preserve">в Журнале регистрации заявлений, направляется для визирования  </w:t>
            </w: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или лицу, его замещаемому  в течение одного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7000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41" style="position:absolute;left:0;text-align:left;z-index:25167667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700001" w:rsidP="00590085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47" style="position:absolute;left:0;text-align:left;z-index:251682816;mso-position-horizontal-relative:text;mso-position-vertical-relative:text" from="359.85pt,34.9pt" to="359.85pt,52.9pt">
                  <v:stroke endarrow="block"/>
                </v:line>
              </w:pict>
            </w:r>
            <w:r w:rsidRPr="00700001">
              <w:rPr>
                <w:noProof/>
              </w:rPr>
              <w:pict>
                <v:line id="_x0000_s1046" style="position:absolute;left:0;text-align:left;flip:x;z-index:251681792;mso-position-horizontal-relative:text;mso-position-vertical-relative:text" from="109.85pt,34.9pt" to="110.1pt,52.95pt">
                  <v:stroke endarrow="block"/>
                </v:line>
              </w:pict>
            </w:r>
            <w:r w:rsidR="00B75745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="00B75745"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B75745" w:rsidRPr="004C606C">
              <w:rPr>
                <w:sz w:val="28"/>
                <w:szCs w:val="28"/>
              </w:rPr>
              <w:t xml:space="preserve">, </w:t>
            </w:r>
            <w:r w:rsidR="00B75745"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="00B75745"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590085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B75745" w:rsidRPr="004C606C" w:rsidTr="00590085">
        <w:trPr>
          <w:trHeight w:val="1035"/>
        </w:trPr>
        <w:tc>
          <w:tcPr>
            <w:tcW w:w="4169" w:type="dxa"/>
            <w:vMerge w:val="restart"/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проводит проверку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в администрацию МО</w:t>
            </w:r>
          </w:p>
          <w:p w:rsidR="00B75745" w:rsidRPr="004C606C" w:rsidRDefault="007000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49" style="position:absolute;left:0;text-align:left;z-index:25168486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700001" w:rsidP="00590085">
            <w:pPr>
              <w:ind w:left="-709" w:firstLine="709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50" style="position:absolute;left:0;text-align:left;flip:x;z-index:251685888" from="-3.65pt,38.75pt" to="6.15pt,39.1pt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>направляет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B75745" w:rsidRPr="004C606C" w:rsidTr="00590085">
        <w:trPr>
          <w:trHeight w:val="673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B75745" w:rsidRPr="004C606C" w:rsidRDefault="00B75745" w:rsidP="00590085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ab/>
            </w:r>
            <w:r w:rsidR="00700001" w:rsidRPr="00700001">
              <w:rPr>
                <w:noProof/>
              </w:rPr>
              <w:pict>
                <v:line id="_x0000_s1048" style="position:absolute;left:0;text-align:left;z-index:251683840;mso-position-horizontal-relative:text;mso-position-vertical-relative:text" from="363.8pt,.65pt" to="363.8pt,9.65pt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rPr>
          <w:trHeight w:val="83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7000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51" style="position:absolute;left:0;text-align:left;flip:x;z-index:251686912" from="115.85pt,127.8pt" to="116.1pt,145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в пункте 22 Регламента,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B75745" w:rsidRPr="004C606C" w:rsidTr="00590085">
        <w:trPr>
          <w:trHeight w:val="475"/>
        </w:trPr>
        <w:tc>
          <w:tcPr>
            <w:tcW w:w="4169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B75745" w:rsidRPr="004C606C" w:rsidRDefault="007000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53" style="position:absolute;left:0;text-align:left;z-index:25168896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оснований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 в пункте 22 Регламента, </w:t>
            </w:r>
            <w:r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B75745" w:rsidRPr="004C606C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75745" w:rsidRPr="004C606C" w:rsidRDefault="007000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52" style="position:absolute;left:0;text-align:left;z-index:25168793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75745" w:rsidRPr="004C606C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700001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42" style="position:absolute;left:0;text-align:left;z-index:25167769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B75745" w:rsidRPr="004C606C">
              <w:rPr>
                <w:sz w:val="22"/>
                <w:szCs w:val="22"/>
              </w:rPr>
              <w:t>Оформленные</w:t>
            </w:r>
            <w:proofErr w:type="gramEnd"/>
            <w:r w:rsidR="00B75745" w:rsidRPr="004C606C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получении</w:t>
            </w:r>
            <w:proofErr w:type="gramEnd"/>
            <w:r w:rsidRPr="004C606C">
              <w:rPr>
                <w:sz w:val="22"/>
                <w:szCs w:val="22"/>
              </w:rPr>
              <w:t xml:space="preserve"> проверяются </w:t>
            </w:r>
            <w:r>
              <w:rPr>
                <w:sz w:val="22"/>
                <w:szCs w:val="22"/>
              </w:rPr>
              <w:t>председателем Комитета</w:t>
            </w:r>
            <w:r w:rsidRPr="004C606C">
              <w:rPr>
                <w:sz w:val="22"/>
                <w:szCs w:val="22"/>
              </w:rPr>
              <w:t xml:space="preserve"> в течение того же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700001" w:rsidP="00590085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44" style="position:absolute;left:0;text-align:left;flip:y;z-index:251679744;mso-position-horizontal-relative:text;mso-position-vertical-relative:text" from="382.05pt,.2pt" to="382.05pt,18.2pt">
                  <v:stroke endarrow="block"/>
                </v:line>
              </w:pict>
            </w:r>
            <w:r w:rsidRPr="00700001">
              <w:rPr>
                <w:noProof/>
              </w:rPr>
              <w:pict>
                <v:line id="_x0000_s1043" style="position:absolute;left:0;text-align:left;z-index:251678720;mso-position-horizontal-relative:text;mso-position-vertical-relative:text" from="363.8pt,-.15pt" to="363.8pt,17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c>
          <w:tcPr>
            <w:tcW w:w="4169" w:type="dxa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направляются на подпись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4C606C">
              <w:rPr>
                <w:sz w:val="22"/>
                <w:szCs w:val="22"/>
              </w:rPr>
              <w:t>воформленных</w:t>
            </w:r>
            <w:proofErr w:type="spellEnd"/>
            <w:r w:rsidRPr="004C606C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B75745" w:rsidRPr="004C606C" w:rsidTr="00590085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75745" w:rsidRPr="004C606C" w:rsidRDefault="00700001" w:rsidP="00590085">
            <w:pPr>
              <w:tabs>
                <w:tab w:val="left" w:pos="1853"/>
              </w:tabs>
              <w:ind w:left="-709" w:firstLine="709"/>
              <w:rPr>
                <w:sz w:val="22"/>
                <w:szCs w:val="22"/>
              </w:rPr>
            </w:pPr>
            <w:r w:rsidRPr="00700001">
              <w:rPr>
                <w:noProof/>
              </w:rPr>
              <w:pict>
                <v:line id="_x0000_s1045" style="position:absolute;left:0;text-align:left;z-index:251680768;mso-position-horizontal-relative:text;mso-position-vertical-relative:text" from="99.2pt,.5pt" to="99.45pt,18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590085">
        <w:tc>
          <w:tcPr>
            <w:tcW w:w="10490" w:type="dxa"/>
            <w:gridSpan w:val="3"/>
          </w:tcPr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lastRenderedPageBreak/>
              <w:t>Подписанные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Журнале учета выданных разрешений. </w:t>
            </w:r>
          </w:p>
          <w:p w:rsidR="00B75745" w:rsidRPr="004C606C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4C60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B75745" w:rsidRPr="004C606C" w:rsidRDefault="00B75745" w:rsidP="00B75745">
      <w:pPr>
        <w:ind w:left="-709" w:firstLine="709"/>
        <w:sectPr w:rsidR="00B75745" w:rsidRPr="004C606C" w:rsidSect="002428BF"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B75745" w:rsidRDefault="00B75745" w:rsidP="00B75745">
      <w:pPr>
        <w:autoSpaceDE w:val="0"/>
        <w:autoSpaceDN w:val="0"/>
        <w:adjustRightInd w:val="0"/>
      </w:pPr>
    </w:p>
    <w:p w:rsidR="00B75745" w:rsidRDefault="00B75745" w:rsidP="00994172">
      <w:pPr>
        <w:jc w:val="right"/>
      </w:pPr>
    </w:p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Default="00B75745" w:rsidP="00B75745">
      <w:pPr>
        <w:tabs>
          <w:tab w:val="left" w:pos="6555"/>
        </w:tabs>
      </w:pPr>
    </w:p>
    <w:p w:rsidR="00B75745" w:rsidRDefault="00B75745" w:rsidP="00B75745"/>
    <w:p w:rsidR="00994172" w:rsidRPr="00B75745" w:rsidRDefault="00994172" w:rsidP="00B75745">
      <w:pPr>
        <w:sectPr w:rsidR="00994172" w:rsidRPr="00B75745" w:rsidSect="00016CB8">
          <w:headerReference w:type="default" r:id="rId26"/>
          <w:footerReference w:type="default" r:id="rId27"/>
          <w:pgSz w:w="11906" w:h="16838"/>
          <w:pgMar w:top="1079" w:right="707" w:bottom="709" w:left="1701" w:header="709" w:footer="709" w:gutter="0"/>
          <w:cols w:space="720"/>
          <w:titlePg/>
          <w:docGrid w:linePitch="272"/>
        </w:sectPr>
      </w:pPr>
    </w:p>
    <w:p w:rsidR="00991A47" w:rsidRDefault="00991A47" w:rsidP="00780826">
      <w:pPr>
        <w:autoSpaceDE w:val="0"/>
        <w:autoSpaceDN w:val="0"/>
        <w:adjustRightInd w:val="0"/>
      </w:pPr>
    </w:p>
    <w:sectPr w:rsidR="00991A47" w:rsidSect="0012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EB" w:rsidRDefault="00B25EEB" w:rsidP="00DC609C">
      <w:r>
        <w:separator/>
      </w:r>
    </w:p>
  </w:endnote>
  <w:endnote w:type="continuationSeparator" w:id="0">
    <w:p w:rsidR="00B25EEB" w:rsidRDefault="00B25EEB" w:rsidP="00D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Ўю¬в?¬рЎю¬µ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F3" w:rsidRDefault="006B60F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EB" w:rsidRDefault="00B25EEB" w:rsidP="00DC609C">
      <w:r>
        <w:separator/>
      </w:r>
    </w:p>
  </w:footnote>
  <w:footnote w:type="continuationSeparator" w:id="0">
    <w:p w:rsidR="00B25EEB" w:rsidRDefault="00B25EEB" w:rsidP="00D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F3" w:rsidRDefault="00700001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60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EA7">
      <w:rPr>
        <w:rStyle w:val="a7"/>
        <w:noProof/>
      </w:rPr>
      <w:t>29</w:t>
    </w:r>
    <w:r>
      <w:rPr>
        <w:rStyle w:val="a7"/>
      </w:rPr>
      <w:fldChar w:fldCharType="end"/>
    </w:r>
  </w:p>
  <w:p w:rsidR="006B60F3" w:rsidRDefault="006B60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72"/>
    <w:rsid w:val="00016CB8"/>
    <w:rsid w:val="00027DA1"/>
    <w:rsid w:val="0007532C"/>
    <w:rsid w:val="0008169D"/>
    <w:rsid w:val="00083FF0"/>
    <w:rsid w:val="00086085"/>
    <w:rsid w:val="000B6671"/>
    <w:rsid w:val="000C5338"/>
    <w:rsid w:val="000F5295"/>
    <w:rsid w:val="00110D75"/>
    <w:rsid w:val="00123826"/>
    <w:rsid w:val="00145A4E"/>
    <w:rsid w:val="001B2ECF"/>
    <w:rsid w:val="001B50A1"/>
    <w:rsid w:val="001C527D"/>
    <w:rsid w:val="001D517C"/>
    <w:rsid w:val="001E618C"/>
    <w:rsid w:val="001F4D10"/>
    <w:rsid w:val="002013C0"/>
    <w:rsid w:val="00212DD3"/>
    <w:rsid w:val="002375BA"/>
    <w:rsid w:val="002428BF"/>
    <w:rsid w:val="00244099"/>
    <w:rsid w:val="0025157F"/>
    <w:rsid w:val="00271210"/>
    <w:rsid w:val="002E60B8"/>
    <w:rsid w:val="00300156"/>
    <w:rsid w:val="00300D72"/>
    <w:rsid w:val="00314143"/>
    <w:rsid w:val="0036757C"/>
    <w:rsid w:val="00412E08"/>
    <w:rsid w:val="00432256"/>
    <w:rsid w:val="004369C3"/>
    <w:rsid w:val="004904E4"/>
    <w:rsid w:val="0049716F"/>
    <w:rsid w:val="004C0F0B"/>
    <w:rsid w:val="004C7FA9"/>
    <w:rsid w:val="004D02ED"/>
    <w:rsid w:val="00501D91"/>
    <w:rsid w:val="00502D81"/>
    <w:rsid w:val="00550560"/>
    <w:rsid w:val="00574478"/>
    <w:rsid w:val="00590085"/>
    <w:rsid w:val="005F3A48"/>
    <w:rsid w:val="006530EA"/>
    <w:rsid w:val="00657C67"/>
    <w:rsid w:val="00696E01"/>
    <w:rsid w:val="006B60F3"/>
    <w:rsid w:val="006E7783"/>
    <w:rsid w:val="006F0683"/>
    <w:rsid w:val="00700001"/>
    <w:rsid w:val="00743572"/>
    <w:rsid w:val="007448D8"/>
    <w:rsid w:val="00757261"/>
    <w:rsid w:val="00775317"/>
    <w:rsid w:val="00775D39"/>
    <w:rsid w:val="00780826"/>
    <w:rsid w:val="007936AB"/>
    <w:rsid w:val="007A3F24"/>
    <w:rsid w:val="007A3FEE"/>
    <w:rsid w:val="007B520D"/>
    <w:rsid w:val="007C2B52"/>
    <w:rsid w:val="007D15A4"/>
    <w:rsid w:val="007E0C2D"/>
    <w:rsid w:val="007E186A"/>
    <w:rsid w:val="007F1652"/>
    <w:rsid w:val="007F4E89"/>
    <w:rsid w:val="00841426"/>
    <w:rsid w:val="00851D60"/>
    <w:rsid w:val="0089315B"/>
    <w:rsid w:val="008E247F"/>
    <w:rsid w:val="009438FB"/>
    <w:rsid w:val="00963138"/>
    <w:rsid w:val="009728AE"/>
    <w:rsid w:val="00982F02"/>
    <w:rsid w:val="00991A47"/>
    <w:rsid w:val="00994172"/>
    <w:rsid w:val="009F2F99"/>
    <w:rsid w:val="00A0556F"/>
    <w:rsid w:val="00A24C08"/>
    <w:rsid w:val="00A3106B"/>
    <w:rsid w:val="00A47440"/>
    <w:rsid w:val="00A64A92"/>
    <w:rsid w:val="00A82819"/>
    <w:rsid w:val="00AC4F26"/>
    <w:rsid w:val="00B01384"/>
    <w:rsid w:val="00B25EEB"/>
    <w:rsid w:val="00B42334"/>
    <w:rsid w:val="00B46F26"/>
    <w:rsid w:val="00B5430F"/>
    <w:rsid w:val="00B72955"/>
    <w:rsid w:val="00B75745"/>
    <w:rsid w:val="00BD226F"/>
    <w:rsid w:val="00C20794"/>
    <w:rsid w:val="00C351CB"/>
    <w:rsid w:val="00C41876"/>
    <w:rsid w:val="00C705DB"/>
    <w:rsid w:val="00CB4149"/>
    <w:rsid w:val="00CC73A8"/>
    <w:rsid w:val="00CE5EA7"/>
    <w:rsid w:val="00CF11BA"/>
    <w:rsid w:val="00D31F73"/>
    <w:rsid w:val="00D3661A"/>
    <w:rsid w:val="00D54E1A"/>
    <w:rsid w:val="00D62FBF"/>
    <w:rsid w:val="00DB3E3E"/>
    <w:rsid w:val="00DB72A1"/>
    <w:rsid w:val="00DC4F04"/>
    <w:rsid w:val="00DC609C"/>
    <w:rsid w:val="00E63D54"/>
    <w:rsid w:val="00E701FE"/>
    <w:rsid w:val="00EC694B"/>
    <w:rsid w:val="00ED4AB2"/>
    <w:rsid w:val="00F27F43"/>
    <w:rsid w:val="00F3489F"/>
    <w:rsid w:val="00FA1551"/>
    <w:rsid w:val="00FB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_olov@mail.ru" TargetMode="Externa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hyperlink" Target="consultantplus://offline/ref=DF44B19559F647B76E833B7AA1582DB10B7ABE26DA8198595128FD6FF65DA2123347CC286A5788s6i9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423506D373118712C7FF2F8F55D842204812D2FD1DFE761D0A6649707CB83D6947D5C817C106bFV2I" TargetMode="Externa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6C6305F6D5F00AFB386A5ADB1C2CDFFF98CF17EF451CA0FD4A8EC3E095FF86B07B7974536534I" TargetMode="External"/><Relationship Id="rId2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E6320C3742F96F6427B77F31392BD1CCBD0CB148A0305CB4748038338246ECCF786C670A38LBB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24" Type="http://schemas.openxmlformats.org/officeDocument/2006/relationships/hyperlink" Target="http://www.pgu.e-za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190608EB41F65EF599E520592DD05500F9E9E11AE8C08D23F44B68C9F5B50AB601FARD69A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ontakt@mfc-chita.ru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consultantplus://offline/ref=44190608EB41F65EF599E520592DD05500F9E9E11AE8C08D23F44B68C9F5B50AB601FARD6CA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29</Pages>
  <Words>9024</Words>
  <Characters>51442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8</cp:revision>
  <cp:lastPrinted>2016-12-20T05:31:00Z</cp:lastPrinted>
  <dcterms:created xsi:type="dcterms:W3CDTF">2016-03-24T00:24:00Z</dcterms:created>
  <dcterms:modified xsi:type="dcterms:W3CDTF">2017-12-20T03:00:00Z</dcterms:modified>
</cp:coreProperties>
</file>