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88" w:rsidRPr="00FA4C88" w:rsidRDefault="00FA4C88" w:rsidP="00FA4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МУНИЦИПАЛЬНОГО РАЙОНА «ОЛОВЯННИНСКИЙ РАЙОН»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пос. Оловянная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31»  марта   2014 г                                                            №  118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положения о порядке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сообщения отдельными категориями лиц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получении подарка в связи с их </w:t>
      </w: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должностным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положением или исполнением ими </w:t>
      </w: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служебных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(должностных) обязанностей, сдачи и оценки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подарка, реализации (выкупа) и зачисления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средств, вырученных от его реализации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частью 2 статьи 575 Гражданского Кодекса Российской Федерации, Федеральным законом «О противодействии коррупции», учитывая Типовое положение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реализации, утвержденное постановлением Правительства Российской Федерации от 09</w:t>
      </w:r>
      <w:proofErr w:type="gram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января 2014 года № 10, статьей  45 Устава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район»,  администрация  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постановляет: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  Утвердить Положение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– Положение) (прилагается).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 Настоящее постановление вступает в силу на следующий день после дня его официального опубликования (обнародования).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 Настоящее постановление опубликовать (обнародовать) на официальном сайте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администрации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                                                          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А.В.Антошкин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УТВЕРЖДЕНО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постановлением администрации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муниципального района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район»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« 31 »  марта  2014 г №  118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1.                </w:t>
      </w: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Положение определяет порядок сообщения муниципальными служащими администрациями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(далее –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зачислении средств, вырученных от его реализации.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          Для целей настоящего Положения используются следующие понятия: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муниципальными служащими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«получение подарка в связи с должностным положением или в связи с исполнением служебных (должностных) обязанностей» - получение муниципальным служащим от физических (юридических) лиц подарка в рамках осуществления деятельности,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</w:t>
      </w: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особенности правового положения и специфику профессиональной служебной деятельности муниципальных служащих.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         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           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администрацию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            Администрацией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полномочия по приему подарков, полученных муниципальными служащими в связи с протокольными мероприятиями, служебными командировками и другими официальными мероприятиями, их оценке для целей принятия к учету, возлагаются на управление делами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             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управление делами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муниципального служащего, получившего подарок, из служебной командировки.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невозможности подачи уведомления в сроки, указанные в </w:t>
      </w:r>
      <w:hyperlink r:id="rId5" w:anchor="Par45" w:history="1">
        <w:r w:rsidRPr="00FA4C88">
          <w:rPr>
            <w:rFonts w:ascii="Times New Roman" w:eastAsia="Times New Roman" w:hAnsi="Times New Roman" w:cs="Times New Roman"/>
            <w:color w:val="205891"/>
            <w:sz w:val="28"/>
            <w:szCs w:val="28"/>
            <w:u w:val="single"/>
            <w:lang w:eastAsia="ru-RU"/>
          </w:rPr>
          <w:t>абзацах первом</w:t>
        </w:r>
      </w:hyperlink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hyperlink r:id="rId6" w:anchor="Par46" w:history="1">
        <w:r w:rsidRPr="00FA4C88">
          <w:rPr>
            <w:rFonts w:ascii="Times New Roman" w:eastAsia="Times New Roman" w:hAnsi="Times New Roman" w:cs="Times New Roman"/>
            <w:color w:val="205891"/>
            <w:sz w:val="28"/>
            <w:szCs w:val="28"/>
            <w:u w:val="single"/>
            <w:lang w:eastAsia="ru-RU"/>
          </w:rPr>
          <w:t>втором</w:t>
        </w:r>
      </w:hyperlink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               Уведомление составляется в 2 экземплярах, один из которых возвращается муниципальному служащему, представившему уведомление, с отметкой о регистрации, другой экземпляр направляется в комиссию по поступлению и выбытию активов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район», образованную в соответствии с законодательством о бухгалтерском учете (далее - комиссия).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8.                </w:t>
      </w: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Подарок, стоимость которого подтверждается документами и превышает 3 тысячи рублей либо стоимость которого получившим его муниципальным служащим неизвестна, сдается ответственному лицу управления делами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район», назначенному распоряжением руководителя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район», которое принимает его на </w:t>
      </w: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9.                </w:t>
      </w: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повреждение подарка несет муниципальный служащий, получивший подарок.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         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муниципальному служащему по акту приема-передачи в случае, если его стоимость не превышает 3 тысячи рублей.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          Управление делами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12.           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Муниципальныйслужащий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сдавший подарок, может его выкупить, направив в орган местного самоуправления соответствующее заявление не позднее двух месяцев со дня сдачи подарка.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13.           </w:t>
      </w: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делами в течение 3 месяцев со дня поступления заявления, указанного в пункте 1</w:t>
      </w:r>
      <w:hyperlink r:id="rId7" w:anchor="Par54" w:history="1">
        <w:r w:rsidRPr="00FA4C88">
          <w:rPr>
            <w:rFonts w:ascii="Times New Roman" w:eastAsia="Times New Roman" w:hAnsi="Times New Roman" w:cs="Times New Roman"/>
            <w:color w:val="205891"/>
            <w:sz w:val="28"/>
            <w:szCs w:val="28"/>
            <w:u w:val="single"/>
            <w:lang w:eastAsia="ru-RU"/>
          </w:rPr>
          <w:t>2</w:t>
        </w:r>
      </w:hyperlink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настоящего Положения, организует оценку стоимости подарка для реализации (выкупа) и уведомляет в письменной форме должностное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          Подарок, в отношении которого не поступило заявление, указанное в </w:t>
      </w:r>
      <w:hyperlink r:id="rId8" w:anchor="Par54" w:history="1">
        <w:r w:rsidRPr="00FA4C88">
          <w:rPr>
            <w:rFonts w:ascii="Times New Roman" w:eastAsia="Times New Roman" w:hAnsi="Times New Roman" w:cs="Times New Roman"/>
            <w:color w:val="205891"/>
            <w:sz w:val="28"/>
            <w:szCs w:val="28"/>
            <w:u w:val="single"/>
            <w:lang w:eastAsia="ru-RU"/>
          </w:rPr>
          <w:t>пункте</w:t>
        </w:r>
      </w:hyperlink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12 настоящего Положения, может 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использоватьсяадминистрацией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с учетом заключения комиссии о целесообразности использования подарка для обеспечения деятельности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           В случае нецелесообразности использования подарка руководитель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 принимается решение о реализации подарка и проведении оценки его стоимости для реализации (выкупа), осуществляемой администрацией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 посредством проведения торгов в порядке, предусмотренном законодательством Российской Федерации.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          Оценка стоимости подарка для реализации (выкупа), предусмотренная пунктами 13 и 1</w:t>
      </w:r>
      <w:hyperlink r:id="rId9" w:anchor="Par57" w:history="1">
        <w:r w:rsidRPr="00FA4C88">
          <w:rPr>
            <w:rFonts w:ascii="Times New Roman" w:eastAsia="Times New Roman" w:hAnsi="Times New Roman" w:cs="Times New Roman"/>
            <w:color w:val="205891"/>
            <w:sz w:val="28"/>
            <w:szCs w:val="28"/>
            <w:u w:val="single"/>
            <w:lang w:eastAsia="ru-RU"/>
          </w:rPr>
          <w:t>5</w:t>
        </w:r>
      </w:hyperlink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настоящего Положения, осуществляется </w:t>
      </w: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субъектами оценочной деятельности в соответствии с законодательством Российской Федерации об оценочной деятельности.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          В случае если подарок не выкуплен или не реализован, руководителем администрации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 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          Средства, вырученные от реализации (выкупа) подарка, зачисляются в доход местного самоуправления муниципального района «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Оловяннинский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положению о порядке сообщения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FA4C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Уведомление о получении подарка</w:t>
      </w:r>
    </w:p>
    <w:bookmarkEnd w:id="0"/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(наименование уполномоченного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структурного подразделения либо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органа местного самоуправления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от_____________________________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занимаемая должность)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Уведомление о получении подарка от «___»_________ 20__г.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Извещаю о получении _________________________________________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 (дата получения)                           подарк</w:t>
      </w: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spellStart"/>
      <w:proofErr w:type="gram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proofErr w:type="spellEnd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на_________________________________________________________________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           </w:t>
      </w:r>
      <w:proofErr w:type="gramStart"/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(наименование протокольного мероприятия, служебной командировки, другого официального</w:t>
      </w:r>
      <w:proofErr w:type="gramEnd"/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мероприятия, место и дата проведения)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54"/>
        <w:gridCol w:w="2981"/>
        <w:gridCol w:w="1851"/>
        <w:gridCol w:w="1859"/>
      </w:tblGrid>
      <w:tr w:rsidR="00FA4C88" w:rsidRPr="00FA4C88" w:rsidTr="00FA4C88"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Стоимость в рублях*</w:t>
            </w:r>
          </w:p>
        </w:tc>
      </w:tr>
      <w:tr w:rsidR="00FA4C88" w:rsidRPr="00FA4C88" w:rsidTr="00FA4C88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A4C88" w:rsidRPr="00FA4C88" w:rsidTr="00FA4C88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A4C88" w:rsidRPr="00FA4C88" w:rsidTr="00FA4C88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A4C88" w:rsidRPr="00FA4C88" w:rsidTr="00FA4C88">
        <w:tc>
          <w:tcPr>
            <w:tcW w:w="5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A4C88" w:rsidRPr="00FA4C88" w:rsidRDefault="00FA4C88" w:rsidP="00FA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4C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Приложение: ________________________________________ на _____ листах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  (наименование документа)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представившее уведомление ___________        _______________     «__» _________ 20__ г.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 (подпись)        (расшифровка подписи)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принявшее уведомление        __________        _______________     «__» __________ 20__ г.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 (подпись)         (расшифровка подписи)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Регистрационный номер в журнале регистрации уведомлений  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«__» ___________________ 20__ г.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</w:p>
    <w:p w:rsidR="00FA4C88" w:rsidRPr="00FA4C88" w:rsidRDefault="00FA4C88" w:rsidP="00FA4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4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Заполняется при наличии документов, подтверждающих стоимость подарка.</w:t>
      </w:r>
    </w:p>
    <w:p w:rsidR="006C10C7" w:rsidRPr="00FA4C88" w:rsidRDefault="006C10C7" w:rsidP="00FA4C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10C7" w:rsidRPr="00FA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DA"/>
    <w:rsid w:val="001117DA"/>
    <w:rsid w:val="006C10C7"/>
    <w:rsid w:val="00FA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C88"/>
    <w:rPr>
      <w:b/>
      <w:bCs/>
    </w:rPr>
  </w:style>
  <w:style w:type="character" w:styleId="a5">
    <w:name w:val="Hyperlink"/>
    <w:basedOn w:val="a0"/>
    <w:uiPriority w:val="99"/>
    <w:semiHidden/>
    <w:unhideWhenUsed/>
    <w:rsid w:val="00FA4C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C88"/>
    <w:rPr>
      <w:b/>
      <w:bCs/>
    </w:rPr>
  </w:style>
  <w:style w:type="character" w:styleId="a5">
    <w:name w:val="Hyperlink"/>
    <w:basedOn w:val="a0"/>
    <w:uiPriority w:val="99"/>
    <w:semiHidden/>
    <w:unhideWhenUsed/>
    <w:rsid w:val="00FA4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%D1%83%D0%BF%D1%80%D0%B0%D0%B2%D0%BB%D0%B5%D0%BD%D0%B8%D0%B5%20%D0%B4%D0%B5%D0%BB%D0%B0%D0%BC%D0%B8\%D1%84%D0%BE%D1%80%D0%BC%D1%8B\18869266-8667273-8667295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%D1%83%D0%BF%D1%80%D0%B0%D0%B2%D0%BB%D0%B5%D0%BD%D0%B8%D0%B5%20%D0%B4%D0%B5%D0%BB%D0%B0%D0%BC%D0%B8\%D1%84%D0%BE%D1%80%D0%BC%D1%8B\18869266-8667273-8667295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%D1%83%D0%BF%D1%80%D0%B0%D0%B2%D0%BB%D0%B5%D0%BD%D0%B8%D0%B5%20%D0%B4%D0%B5%D0%BB%D0%B0%D0%BC%D0%B8\%D1%84%D0%BE%D1%80%D0%BC%D1%8B\18869266-8667273-8667295.rtf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Z:\%D1%83%D0%BF%D1%80%D0%B0%D0%B2%D0%BB%D0%B5%D0%BD%D0%B8%D0%B5%20%D0%B4%D0%B5%D0%BB%D0%B0%D0%BC%D0%B8\%D1%84%D0%BE%D1%80%D0%BC%D1%8B\18869266-8667273-8667295.rt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Z:\%D1%83%D0%BF%D1%80%D0%B0%D0%B2%D0%BB%D0%B5%D0%BD%D0%B8%D0%B5%20%D0%B4%D0%B5%D0%BB%D0%B0%D0%BC%D0%B8\%D1%84%D0%BE%D1%80%D0%BC%D1%8B\18869266-8667273-8667295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1954</Words>
  <Characters>11138</Characters>
  <Application>Microsoft Office Word</Application>
  <DocSecurity>0</DocSecurity>
  <Lines>92</Lines>
  <Paragraphs>26</Paragraphs>
  <ScaleCrop>false</ScaleCrop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Конста. Сушкова</dc:creator>
  <cp:keywords/>
  <dc:description/>
  <cp:lastModifiedBy>Олеся Конста. Сушкова</cp:lastModifiedBy>
  <cp:revision>2</cp:revision>
  <dcterms:created xsi:type="dcterms:W3CDTF">2018-01-25T01:28:00Z</dcterms:created>
  <dcterms:modified xsi:type="dcterms:W3CDTF">2018-01-25T01:29:00Z</dcterms:modified>
</cp:coreProperties>
</file>