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6E50" w:rsidRDefault="00E06E50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БЫРКИНСКОЕ»</w:t>
      </w:r>
    </w:p>
    <w:p w:rsidR="00E06E50" w:rsidRDefault="00E06E50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E06E50" w:rsidRDefault="00E06E50" w:rsidP="00E06E50">
      <w:pPr>
        <w:spacing w:after="0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-Бырка </w:t>
      </w:r>
    </w:p>
    <w:p w:rsidR="00E06E50" w:rsidRDefault="00E06E50" w:rsidP="00E06E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50" w:rsidRDefault="00E06E50" w:rsidP="00E06E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234EC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     2019  года                                                                      №</w:t>
      </w:r>
      <w:r w:rsidR="002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6E50" w:rsidRDefault="00E06E50" w:rsidP="00E06E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</w:t>
      </w:r>
    </w:p>
    <w:p w:rsidR="00E06E50" w:rsidRPr="00E06E50" w:rsidRDefault="00E06E50" w:rsidP="00E06E5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6E50" w:rsidRPr="00E06E50" w:rsidRDefault="00E06E50" w:rsidP="00E06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формирования перечня налоговых расходов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6D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Ежегодно, до 1 октября, утверждать (изменение) методик оценки эффективности налоговых расходов </w:t>
      </w:r>
      <w:r w:rsidR="00A871A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7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E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налоговым расходам сельского</w:t>
      </w:r>
      <w:r w:rsidR="00A8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A8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6E50" w:rsidRPr="00E06E50" w:rsidRDefault="00D51DA4" w:rsidP="00D51DA4">
      <w:pPr>
        <w:tabs>
          <w:tab w:val="left" w:pos="4536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 настоящего постановления оставляю за собой.</w:t>
      </w: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BA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сельского поселения</w:t>
      </w:r>
    </w:p>
    <w:p w:rsidR="00E06E50" w:rsidRPr="00E06E50" w:rsidRDefault="00FC19BA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«Хара-Быркинское»      </w:t>
      </w:r>
      <w:r w:rsidR="00E06E50" w:rsidRPr="00E06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proofErr w:type="spellStart"/>
      <w:r w:rsidR="00A871A0">
        <w:rPr>
          <w:rFonts w:ascii="Times New Roman" w:eastAsia="Times New Roman" w:hAnsi="Times New Roman" w:cs="Times New Roman"/>
          <w:sz w:val="28"/>
          <w:szCs w:val="24"/>
          <w:lang w:eastAsia="ru-RU"/>
        </w:rPr>
        <w:t>Н.Н.Цагадаев</w:t>
      </w:r>
      <w:proofErr w:type="spellEnd"/>
      <w:r w:rsidR="00A87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DA4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"/>
      <w:bookmarkEnd w:id="0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DA4" w:rsidRDefault="00D51DA4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F4" w:rsidRDefault="00D51DA4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06E50" w:rsidRPr="00E06E50" w:rsidRDefault="00E06E50" w:rsidP="00D5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</w:t>
      </w:r>
    </w:p>
    <w:p w:rsidR="00E06E50" w:rsidRPr="00E06E50" w:rsidRDefault="00E06E5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Администрации </w:t>
      </w:r>
    </w:p>
    <w:p w:rsidR="00A871A0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A871A0" w:rsidP="00E06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0DF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№</w:t>
      </w:r>
      <w:r w:rsidR="00180D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налоговых расходов </w:t>
      </w:r>
    </w:p>
    <w:p w:rsidR="00E06E50" w:rsidRPr="00E06E50" w:rsidRDefault="00FC19BA" w:rsidP="00E06E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C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Настоящий Порядок определяет процедуру формирования перечня налоговых расходов </w:t>
      </w:r>
      <w:r w:rsidR="00CF4BA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4BA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C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налоговых расходов </w:t>
      </w:r>
      <w:r w:rsidR="00CF4BA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4BA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Понятия, используемые в настоящем Порядке: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– орган исполнительной власти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муниципальной программы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социально-экономического развития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AE6376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положениях нормативных правовых актов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комплекс мероприятий по оценке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объемов выпадающих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распределении налоговых расходов в соответствии с целями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социально-экономического развития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относящимися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кураторах налоговых расходов;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– плательщики налогов;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последующее увеличение доходов бюджета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налоговые расходы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налоговых расходов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характеристики налогового расхода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7461E2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4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1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06E50" w:rsidRPr="00E06E50" w:rsidRDefault="006B6BB1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0D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исходя из целей муниципальных программ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E06E50"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относящихся 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="00E06E50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 В целях оценки налоговых расходов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6BB1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6BB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перечень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r:id="rId6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для проведения их оценки, в том числе формирует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год, а также оценку объемов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Федеральной налоговой службы по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обобщение результатов оценки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кураторами налоговых расходов.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В целях оценки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кураторы налоговых расходов: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паспорта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информацию, предусмотренную </w:t>
      </w:r>
      <w:hyperlink r:id="rId7" w:anchor="P133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оценку эффективности налоговых расходов </w:t>
      </w:r>
      <w:r w:rsidR="002329A9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32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формирования перечня налоговых расходов </w:t>
      </w:r>
    </w:p>
    <w:p w:rsidR="00E06E50" w:rsidRPr="00E06E50" w:rsidRDefault="002329A9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62"/>
      <w:bookmarkEnd w:id="2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формируется отделом экономики и финансов Администрацией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Оловянниский</w:t>
      </w:r>
      <w:proofErr w:type="spellEnd"/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36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сентября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на согласование ответственным исполнителям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предлагается определить в качестве кураторов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63"/>
      <w:bookmarkEnd w:id="3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Кураторы налоговых расходов до 1 мая рассматривают проект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предлагаемого распределения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элементов муниципальных программ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целями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относящимися к муниципальным программам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по уточнению проекта перечня налоговых расходов </w:t>
      </w:r>
      <w:r w:rsidR="003E5A4A"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E5A4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в отдел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экономики и финансов Администрации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proofErr w:type="gramStart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направлению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срока, указанного в </w:t>
      </w:r>
      <w:hyperlink r:id="rId8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замечания и предложения не направлены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срока, указанного в </w:t>
      </w:r>
      <w:hyperlink r:id="rId9" w:anchor="P63" w:history="1">
        <w:r w:rsidRPr="00E06E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целями муниципальных программ сельского поселения, структурных элементов муниципальных программ сельского поселения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целями социально-экономического развития сельского поселения, не относящимися к муниципальным программам сельского поселения,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перечня налоговых расходов сельского поселения считается 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соответствующей части.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«Хара-Быркинское»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исполнительной власти сельского поселения, определенных в качестве кураторов налоговых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разногласий отдел экономики и финансов Администрации </w:t>
      </w:r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3E5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согласование проекта перечня налоговых расходов сельского поселения с соответствующими кураторами налоговых расходов до 1 июня.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Согласованный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06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сельского поселения размещается на официальном сайте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экономики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финансов Администрации </w:t>
      </w:r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08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D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соответствующую информацию для уточнения перечня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proofErr w:type="gramStart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ементов муниципальных программ </w:t>
      </w:r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рассмотрения и утверждения проекта о местного бюджете на</w:t>
      </w:r>
      <w:proofErr w:type="gramEnd"/>
      <w:r w:rsidRPr="00E0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оценки эффективности налоговых расходов сельского поселения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сельского поселения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целях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эффективности налоговых расходов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февраля направляет Управлению Федеральной налоговой службы по 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категориях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плательщиков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</w:t>
      </w:r>
      <w:bookmarkStart w:id="4" w:name="P56"/>
      <w:bookmarkEnd w:id="4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22.06.2019 № 796 «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оценки совокупного бюджетного эффекта (самоокупаемости).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 20 августа при необходимости представляет в Министерство финансов </w:t>
      </w:r>
      <w:r w:rsidR="00441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предусмотренную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требованиями.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налоговых расходов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5"/>
      <w:bookmarkEnd w:id="5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Критериями целесообразности налоговых расходов сельского поселения являются: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развития сельского поселения, не относящимся к муниципальным программам 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востребованность плательщиками предоставленных льгот,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 случае несоответствия налоговых расходов сельского поселения хотя бы одному из критериев, указанных в </w:t>
      </w:r>
      <w:hyperlink r:id="rId10" w:anchor="P75" w:history="1">
        <w:r w:rsidRPr="00E0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3.3</w:t>
        </w:r>
      </w:hyperlink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куратору налогового расхода надлежит представить в отдел экономики и финансов Администрации </w:t>
      </w:r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44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сохранении (уточнении, отмене) льгот для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  <w:proofErr w:type="gramEnd"/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муниципальным программам сельского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достижения целей муниципальной программы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социально-экономического развития сельского поселения, не относящихся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муниципальным программам сельского поселения, могут учитываться в том числе: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Оценка совокупного бюджетного эффекта (самоокупаемости) стимулирующих налоговых расходов сельского поселения определяется отдельно по каждому налоговому расходу сельского поселения. В случае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сельского поселения определяется в целом по указанной категории плательщиков.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1"/>
      <w:bookmarkEnd w:id="7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F3681C" w:rsidRPr="008933BE" w:rsidRDefault="00F3681C" w:rsidP="00F3681C">
      <w:pPr>
        <w:widowControl w:val="0"/>
        <w:tabs>
          <w:tab w:val="left" w:pos="3997"/>
        </w:tabs>
        <w:spacing w:before="204" w:after="0" w:line="167" w:lineRule="exact"/>
        <w:ind w:right="114"/>
        <w:rPr>
          <w:rFonts w:ascii="Arial" w:eastAsia="Arial" w:hAnsi="Arial" w:cs="Arial"/>
          <w:sz w:val="12"/>
          <w:szCs w:val="12"/>
          <w:lang w:val="en-US"/>
        </w:rPr>
      </w:pPr>
      <w:proofErr w:type="spellStart"/>
      <w:proofErr w:type="gramStart"/>
      <w:r w:rsidRPr="008933BE">
        <w:rPr>
          <w:rFonts w:ascii="Arial" w:eastAsia="Calibri" w:hAnsi="Calibri" w:cs="Times New Roman"/>
          <w:w w:val="180"/>
          <w:sz w:val="12"/>
          <w:lang w:val="en-US"/>
        </w:rPr>
        <w:t>ffij</w:t>
      </w:r>
      <w:proofErr w:type="spellEnd"/>
      <w:proofErr w:type="gramEnd"/>
    </w:p>
    <w:p w:rsidR="00F3681C" w:rsidRPr="008933BE" w:rsidRDefault="00F3681C" w:rsidP="00F3681C">
      <w:pPr>
        <w:widowControl w:val="0"/>
        <w:tabs>
          <w:tab w:val="left" w:pos="1706"/>
          <w:tab w:val="left" w:pos="4524"/>
        </w:tabs>
        <w:spacing w:after="0" w:line="294" w:lineRule="exact"/>
        <w:jc w:val="center"/>
        <w:rPr>
          <w:rFonts w:ascii="Arial" w:eastAsia="Arial" w:hAnsi="Arial" w:cs="Arial"/>
          <w:sz w:val="27"/>
          <w:szCs w:val="27"/>
          <w:lang w:val="en-US"/>
        </w:rPr>
      </w:pPr>
      <w:proofErr w:type="gramStart"/>
      <w:r w:rsidRPr="008933BE">
        <w:rPr>
          <w:rFonts w:ascii="Arial" w:eastAsia="Calibri" w:hAnsi="Calibri" w:cs="Times New Roman"/>
          <w:w w:val="105"/>
          <w:sz w:val="26"/>
          <w:lang w:val="en-US"/>
        </w:rPr>
        <w:t>_</w:t>
      </w:r>
      <w:r w:rsidRPr="008933BE">
        <w:rPr>
          <w:rFonts w:ascii="Arial" w:eastAsia="Calibri" w:hAnsi="Calibri" w:cs="Times New Roman"/>
          <w:w w:val="105"/>
          <w:sz w:val="26"/>
          <w:lang w:val="en-US"/>
        </w:rPr>
        <w:tab/>
      </w:r>
      <w:proofErr w:type="spellStart"/>
      <w:r w:rsidRPr="008933BE">
        <w:rPr>
          <w:rFonts w:ascii="Arial" w:eastAsia="Calibri" w:hAnsi="Calibri" w:cs="Times New Roman"/>
          <w:w w:val="120"/>
          <w:sz w:val="26"/>
          <w:lang w:val="en-US"/>
        </w:rPr>
        <w:t>Nij</w:t>
      </w:r>
      <w:proofErr w:type="spellEnd"/>
      <w:r w:rsidRPr="008933BE">
        <w:rPr>
          <w:rFonts w:ascii="Arial" w:eastAsia="Calibri" w:hAnsi="Calibri" w:cs="Times New Roman"/>
          <w:spacing w:val="-32"/>
          <w:w w:val="120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w w:val="210"/>
          <w:sz w:val="26"/>
          <w:lang w:val="en-US"/>
        </w:rPr>
        <w:t>-</w:t>
      </w:r>
      <w:r w:rsidRPr="008933BE">
        <w:rPr>
          <w:rFonts w:ascii="Arial" w:eastAsia="Calibri" w:hAnsi="Calibri" w:cs="Times New Roman"/>
          <w:spacing w:val="-106"/>
          <w:w w:val="210"/>
          <w:sz w:val="26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sz w:val="26"/>
          <w:lang w:val="en-US"/>
        </w:rPr>
        <w:t>Boj</w:t>
      </w:r>
      <w:proofErr w:type="spellEnd"/>
      <w:r w:rsidRPr="008933BE">
        <w:rPr>
          <w:rFonts w:ascii="Arial" w:eastAsia="Calibri" w:hAnsi="Calibri" w:cs="Times New Roman"/>
          <w:sz w:val="26"/>
          <w:lang w:val="en-US"/>
        </w:rPr>
        <w:t xml:space="preserve"> </w:t>
      </w:r>
      <w:r w:rsidRPr="008933BE">
        <w:rPr>
          <w:rFonts w:ascii="Arial" w:eastAsia="Calibri" w:hAnsi="Calibri" w:cs="Times New Roman"/>
          <w:sz w:val="35"/>
          <w:lang w:val="en-US"/>
        </w:rPr>
        <w:t>*</w:t>
      </w:r>
      <w:r w:rsidRPr="008933BE">
        <w:rPr>
          <w:rFonts w:ascii="Arial" w:eastAsia="Calibri" w:hAnsi="Calibri" w:cs="Times New Roman"/>
          <w:spacing w:val="-35"/>
          <w:sz w:val="35"/>
          <w:lang w:val="en-US"/>
        </w:rPr>
        <w:t xml:space="preserve"> </w:t>
      </w:r>
      <w:r w:rsidRPr="008933BE">
        <w:rPr>
          <w:rFonts w:ascii="Arial" w:eastAsia="Calibri" w:hAnsi="Calibri" w:cs="Times New Roman"/>
          <w:spacing w:val="3"/>
          <w:w w:val="120"/>
          <w:sz w:val="26"/>
          <w:lang w:val="en-US"/>
        </w:rPr>
        <w:t>(1</w:t>
      </w:r>
      <w:r w:rsidRPr="008933BE">
        <w:rPr>
          <w:rFonts w:ascii="Arial" w:eastAsia="Calibri" w:hAnsi="Calibri" w:cs="Times New Roman"/>
          <w:spacing w:val="3"/>
          <w:w w:val="120"/>
          <w:sz w:val="37"/>
          <w:lang w:val="en-US"/>
        </w:rPr>
        <w:t>+</w:t>
      </w:r>
      <w:r w:rsidRPr="008933BE">
        <w:rPr>
          <w:rFonts w:ascii="Arial" w:eastAsia="Calibri" w:hAnsi="Calibri" w:cs="Times New Roman"/>
          <w:spacing w:val="-80"/>
          <w:w w:val="120"/>
          <w:sz w:val="37"/>
          <w:lang w:val="en-US"/>
        </w:rPr>
        <w:t xml:space="preserve"> </w:t>
      </w:r>
      <w:proofErr w:type="spellStart"/>
      <w:r w:rsidRPr="008933BE">
        <w:rPr>
          <w:rFonts w:ascii="Arial" w:eastAsia="Calibri" w:hAnsi="Calibri" w:cs="Times New Roman"/>
          <w:w w:val="120"/>
          <w:sz w:val="27"/>
          <w:u w:val="single" w:color="000000"/>
          <w:lang w:val="en-US"/>
        </w:rPr>
        <w:t>g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>i</w:t>
      </w:r>
      <w:proofErr w:type="spellEnd"/>
      <w:r w:rsidRPr="008933BE">
        <w:rPr>
          <w:rFonts w:ascii="Arial" w:eastAsia="Calibri" w:hAnsi="Calibri" w:cs="Times New Roman"/>
          <w:w w:val="120"/>
          <w:sz w:val="27"/>
          <w:lang w:val="en-US"/>
        </w:rPr>
        <w:t>)</w:t>
      </w:r>
      <w:r w:rsidRPr="008933BE">
        <w:rPr>
          <w:rFonts w:ascii="Arial" w:eastAsia="Calibri" w:hAnsi="Calibri" w:cs="Times New Roman"/>
          <w:w w:val="120"/>
          <w:sz w:val="27"/>
          <w:lang w:val="en-US"/>
        </w:rPr>
        <w:tab/>
        <w:t>.</w:t>
      </w:r>
      <w:proofErr w:type="gramEnd"/>
    </w:p>
    <w:p w:rsidR="00F3681C" w:rsidRPr="008933BE" w:rsidRDefault="00F3681C" w:rsidP="00F3681C">
      <w:pPr>
        <w:widowControl w:val="0"/>
        <w:tabs>
          <w:tab w:val="left" w:pos="2340"/>
          <w:tab w:val="left" w:pos="3957"/>
        </w:tabs>
        <w:spacing w:after="0" w:line="357" w:lineRule="exact"/>
        <w:jc w:val="center"/>
        <w:rPr>
          <w:rFonts w:ascii="Times New Roman" w:eastAsia="Times New Roman" w:hAnsi="Times New Roman" w:cs="Times New Roman"/>
          <w:sz w:val="29"/>
          <w:szCs w:val="29"/>
          <w:lang w:val="en-US"/>
        </w:rPr>
      </w:pPr>
      <w:r w:rsidRPr="008933BE">
        <w:rPr>
          <w:rFonts w:ascii="Arial" w:eastAsia="Calibri" w:hAnsi="Arial" w:cs="Times New Roman"/>
          <w:i/>
          <w:w w:val="110"/>
          <w:sz w:val="27"/>
          <w:lang w:val="en-US"/>
        </w:rPr>
        <w:t>Е</w:t>
      </w:r>
      <w:r w:rsidRPr="008933BE">
        <w:rPr>
          <w:rFonts w:ascii="Arial" w:eastAsia="Calibri" w:hAnsi="Arial" w:cs="Times New Roman"/>
          <w:i/>
          <w:spacing w:val="21"/>
          <w:w w:val="110"/>
          <w:sz w:val="27"/>
          <w:lang w:val="en-US"/>
        </w:rPr>
        <w:t xml:space="preserve"> 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>-</w:t>
      </w:r>
      <w:r w:rsidRPr="008933BE">
        <w:rPr>
          <w:rFonts w:ascii="Arial" w:eastAsia="Calibri" w:hAnsi="Arial" w:cs="Times New Roman"/>
          <w:w w:val="200"/>
          <w:sz w:val="27"/>
          <w:lang w:val="en-US"/>
        </w:rPr>
        <w:tab/>
      </w:r>
      <w:r w:rsidRPr="008933BE">
        <w:rPr>
          <w:rFonts w:ascii="Times New Roman" w:eastAsia="Calibri" w:hAnsi="Times New Roman" w:cs="Times New Roman"/>
          <w:w w:val="130"/>
          <w:sz w:val="28"/>
          <w:lang w:val="en-US"/>
        </w:rPr>
        <w:t>(l</w:t>
      </w:r>
      <w:r w:rsidRPr="008933BE">
        <w:rPr>
          <w:rFonts w:ascii="Times New Roman" w:eastAsia="Calibri" w:hAnsi="Times New Roman" w:cs="Times New Roman"/>
          <w:spacing w:val="-22"/>
          <w:w w:val="130"/>
          <w:sz w:val="28"/>
          <w:lang w:val="en-US"/>
        </w:rPr>
        <w:t xml:space="preserve"> </w:t>
      </w:r>
      <w:r w:rsidRPr="008933BE">
        <w:rPr>
          <w:rFonts w:ascii="Arial" w:eastAsia="Calibri" w:hAnsi="Arial" w:cs="Times New Roman"/>
          <w:w w:val="110"/>
          <w:sz w:val="37"/>
          <w:lang w:val="en-US"/>
        </w:rPr>
        <w:t>+</w:t>
      </w:r>
      <w:r w:rsidRPr="008933BE">
        <w:rPr>
          <w:rFonts w:ascii="Arial" w:eastAsia="Calibri" w:hAnsi="Arial" w:cs="Times New Roman"/>
          <w:spacing w:val="-63"/>
          <w:w w:val="110"/>
          <w:sz w:val="37"/>
          <w:lang w:val="en-US"/>
        </w:rPr>
        <w:t xml:space="preserve"> </w:t>
      </w:r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r</w:t>
      </w:r>
      <w:proofErr w:type="gramStart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>)i</w:t>
      </w:r>
      <w:proofErr w:type="gramEnd"/>
      <w:r w:rsidRPr="008933BE">
        <w:rPr>
          <w:rFonts w:ascii="Times New Roman" w:eastAsia="Calibri" w:hAnsi="Times New Roman" w:cs="Times New Roman"/>
          <w:w w:val="110"/>
          <w:sz w:val="29"/>
          <w:lang w:val="en-US"/>
        </w:rPr>
        <w:tab/>
      </w:r>
      <w:r w:rsidRPr="008933BE">
        <w:rPr>
          <w:rFonts w:ascii="Times New Roman" w:eastAsia="Calibri" w:hAnsi="Times New Roman" w:cs="Times New Roman"/>
          <w:w w:val="80"/>
          <w:sz w:val="29"/>
          <w:lang w:val="en-US"/>
        </w:rPr>
        <w:t>1</w:t>
      </w:r>
      <w:r w:rsidRPr="008933BE">
        <w:rPr>
          <w:rFonts w:ascii="Times New Roman" w:eastAsia="Calibri" w:hAnsi="Times New Roman" w:cs="Times New Roman"/>
          <w:spacing w:val="-43"/>
          <w:w w:val="80"/>
          <w:sz w:val="29"/>
          <w:lang w:val="en-US"/>
        </w:rPr>
        <w:t xml:space="preserve"> </w:t>
      </w:r>
      <w:proofErr w:type="spellStart"/>
      <w:r w:rsidRPr="008933BE">
        <w:rPr>
          <w:rFonts w:ascii="Times New Roman" w:eastAsia="Calibri" w:hAnsi="Times New Roman" w:cs="Times New Roman"/>
          <w:sz w:val="29"/>
          <w:lang w:val="en-US"/>
        </w:rPr>
        <w:t>rде</w:t>
      </w:r>
      <w:proofErr w:type="spellEnd"/>
      <w:r w:rsidRPr="008933BE">
        <w:rPr>
          <w:rFonts w:ascii="Times New Roman" w:eastAsia="Calibri" w:hAnsi="Times New Roman" w:cs="Times New Roman"/>
          <w:sz w:val="29"/>
          <w:lang w:val="en-US"/>
        </w:rPr>
        <w:t>.</w:t>
      </w:r>
    </w:p>
    <w:p w:rsidR="00F3681C" w:rsidRPr="008933BE" w:rsidRDefault="00F3681C" w:rsidP="00F3681C">
      <w:pPr>
        <w:widowControl w:val="0"/>
        <w:spacing w:before="21" w:after="0" w:line="240" w:lineRule="auto"/>
        <w:ind w:right="2634"/>
        <w:jc w:val="center"/>
        <w:rPr>
          <w:rFonts w:ascii="Arial" w:eastAsia="Arial" w:hAnsi="Arial" w:cs="Arial"/>
          <w:sz w:val="17"/>
          <w:szCs w:val="17"/>
        </w:rPr>
      </w:pPr>
      <w:r w:rsidRPr="008933BE">
        <w:rPr>
          <w:rFonts w:ascii="Arial" w:eastAsia="Calibri" w:hAnsi="Calibri" w:cs="Times New Roman"/>
          <w:w w:val="130"/>
          <w:sz w:val="17"/>
        </w:rPr>
        <w:t>1=1</w:t>
      </w:r>
      <w:proofErr w:type="gramStart"/>
      <w:r w:rsidRPr="008933BE">
        <w:rPr>
          <w:rFonts w:ascii="Arial" w:eastAsia="Calibri" w:hAnsi="Calibri" w:cs="Times New Roman"/>
          <w:w w:val="130"/>
          <w:sz w:val="17"/>
        </w:rPr>
        <w:t xml:space="preserve"> </w:t>
      </w:r>
      <w:r w:rsidRPr="008933BE">
        <w:rPr>
          <w:rFonts w:ascii="Arial" w:eastAsia="Calibri" w:hAnsi="Calibri" w:cs="Times New Roman"/>
          <w:w w:val="120"/>
          <w:sz w:val="17"/>
        </w:rPr>
        <w:t>)</w:t>
      </w:r>
      <w:proofErr w:type="gramEnd"/>
      <w:r w:rsidRPr="008933BE">
        <w:rPr>
          <w:rFonts w:ascii="Arial" w:eastAsia="Calibri" w:hAnsi="Calibri" w:cs="Times New Roman"/>
          <w:spacing w:val="-31"/>
          <w:w w:val="120"/>
          <w:sz w:val="17"/>
        </w:rPr>
        <w:t xml:space="preserve"> </w:t>
      </w:r>
      <w:r w:rsidRPr="008933BE">
        <w:rPr>
          <w:rFonts w:ascii="Arial" w:eastAsia="Calibri" w:hAnsi="Calibri" w:cs="Times New Roman"/>
          <w:w w:val="130"/>
          <w:sz w:val="17"/>
        </w:rPr>
        <w:t>=1</w:t>
      </w:r>
    </w:p>
    <w:p w:rsidR="00F3681C" w:rsidRPr="008933BE" w:rsidRDefault="00F3681C" w:rsidP="00F3681C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i – порядковый номер года, имеющий значение от 1 до 5;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плательщиков, воспользовавшихся льготой в i-м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j – порядковый номер плательщика, имеющий значение от 1 до m;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налогов, задекларированных для уплаты в бюджет сельского поселения j-м плательщиком в i-м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</w:t>
      </w:r>
      <w:r w:rsidR="0015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номинальный темп прироста налоговых доходов бюджета в i-м году по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показателям базового года;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 – расчетная стоимость среднесрочных рыночных заимствований, определяемая в соответствии </w:t>
      </w:r>
      <w:r w:rsidRPr="00E06E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постановлением Правительства РФ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22.06.2019 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 Базовый объем налогов, задекларированных для уплаты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сельского поселения j-м плательщиком в базовом году (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рассчитывается по формуле: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бюджет сельского поселения j-м плательщиком в базовом году;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E0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льгот, предоставленных j-</w:t>
      </w:r>
      <w:proofErr w:type="spell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плательщику в базовом году.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Результаты оценки эффективности налогового расхода должны направляться кураторами в Администрацию финансов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содержать: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до 1 июля.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 Администрация </w:t>
      </w:r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="0015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налоговых расходов сельского поселения, согласовывает их с кураторами налоговых расходов.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Согласованная информация о результатах оценки налоговых расходов 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E06E50" w:rsidRPr="00E06E50" w:rsidRDefault="00E06E50" w:rsidP="00E06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сельского поселения</w:t>
      </w:r>
      <w:proofErr w:type="gramEnd"/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Pr="00E06E50" w:rsidRDefault="00E06E50" w:rsidP="00E06E50">
      <w:pPr>
        <w:tabs>
          <w:tab w:val="left" w:pos="4536"/>
          <w:tab w:val="left" w:pos="8222"/>
        </w:tabs>
        <w:spacing w:after="0" w:line="240" w:lineRule="auto"/>
        <w:ind w:right="54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50" w:rsidRDefault="00157E41" w:rsidP="00E0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157E41" w:rsidRPr="00E06E50" w:rsidRDefault="00157E41" w:rsidP="00E0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«Хара-Быркинское»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Н.Н.Цагадаев</w:t>
      </w:r>
      <w:proofErr w:type="spellEnd"/>
    </w:p>
    <w:p w:rsidR="00E06E50" w:rsidRPr="00E06E50" w:rsidRDefault="00E06E50" w:rsidP="00E06E5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06E50" w:rsidRPr="00E06E50">
          <w:pgSz w:w="11906" w:h="16838"/>
          <w:pgMar w:top="709" w:right="851" w:bottom="1134" w:left="1304" w:header="709" w:footer="709" w:gutter="0"/>
          <w:cols w:space="720"/>
        </w:sectPr>
      </w:pPr>
    </w:p>
    <w:p w:rsidR="00E06E50" w:rsidRPr="00E06E50" w:rsidRDefault="00E06E50" w:rsidP="00E06E50">
      <w:pPr>
        <w:pageBreakBefore/>
        <w:autoSpaceDE w:val="0"/>
        <w:autoSpaceDN w:val="0"/>
        <w:adjustRightInd w:val="0"/>
        <w:spacing w:after="0" w:line="240" w:lineRule="auto"/>
        <w:ind w:left="9639" w:firstLine="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 налоговых расходов сельского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оценки налоговых расходов </w:t>
      </w:r>
    </w:p>
    <w:p w:rsidR="00EC5BF2" w:rsidRDefault="00E06E50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Pr="00E06E50" w:rsidRDefault="00EC5BF2" w:rsidP="00E06E5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расходов сельского поселения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«Хара-Быркинское»</w:t>
      </w: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обусловленных налоговыми льготами, освобождениями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муниципальной поддержки</w:t>
      </w:r>
    </w:p>
    <w:p w:rsidR="00E06E50" w:rsidRPr="00E06E50" w:rsidRDefault="00E06E50" w:rsidP="00E06E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целями муниципальных программ сельского поселения</w:t>
      </w:r>
      <w:r w:rsidR="00EC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«Хара-Быркинское»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702"/>
        <w:gridCol w:w="1701"/>
        <w:gridCol w:w="1843"/>
        <w:gridCol w:w="1701"/>
        <w:gridCol w:w="1842"/>
        <w:gridCol w:w="1418"/>
        <w:gridCol w:w="1418"/>
        <w:gridCol w:w="1418"/>
      </w:tblGrid>
      <w:tr w:rsidR="00E06E50" w:rsidRPr="00E06E50" w:rsidTr="00E06E50">
        <w:trPr>
          <w:trHeight w:val="3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наименование налогового расхода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нормативного правового акта  сельского поселения, устанавливающего налоговый расход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 категория налогового расхода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муниципальной программы сельского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</w:t>
            </w:r>
            <w:proofErr w:type="gramStart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предусматривающей</w:t>
            </w:r>
            <w:proofErr w:type="gramEnd"/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06E50" w:rsidRPr="00E06E50" w:rsidTr="00E06E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6E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50" w:rsidRPr="00E06E50" w:rsidRDefault="00E06E50" w:rsidP="00E0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6E50" w:rsidRPr="00E06E50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перечня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 сельского поселения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«Хара-Быркинское»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ind w:left="7088" w:hanging="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расходов</w:t>
      </w:r>
    </w:p>
    <w:p w:rsidR="00EC5BF2" w:rsidRDefault="00E06E50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Pr="00E06E50" w:rsidRDefault="00EC5BF2" w:rsidP="00E06E5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включаемой в паспорт налогового расхода</w:t>
      </w: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C5BF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«Хара-Быркинское»</w:t>
      </w:r>
    </w:p>
    <w:p w:rsidR="00E06E50" w:rsidRPr="00E06E50" w:rsidRDefault="00E06E50" w:rsidP="00E0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"/>
        <w:gridCol w:w="346"/>
        <w:gridCol w:w="4867"/>
        <w:gridCol w:w="1791"/>
        <w:gridCol w:w="2975"/>
      </w:tblGrid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E06E50" w:rsidRPr="00E06E50" w:rsidTr="00E06E50">
        <w:trPr>
          <w:trHeight w:val="2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расходов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куратора налогового расхода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муниципальных программ сельского поселения, наименования нормативных правовых актов, определяющих цели социально-экономического развития сельского поселения, не относящиеся к муниципальным программам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и </w:t>
            </w:r>
          </w:p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сельского поселения, в </w:t>
            </w: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сельского поселения 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муниципальных программ сельского поселения и (или) целей социально-экономического развития сельского поселения, не относящи</w:t>
            </w:r>
            <w:r w:rsidR="00C7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хся к муниципальным программам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в связи с предоставлением налоговых льгот, освобождений и </w:t>
            </w: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иных преференций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информация куратора налогового расхода </w:t>
            </w:r>
          </w:p>
        </w:tc>
      </w:tr>
      <w:tr w:rsidR="00E06E50" w:rsidRPr="00E06E50" w:rsidTr="00E06E5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Администрации сельского поселения</w:t>
            </w:r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сельского поселения (единиц)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rPr>
          <w:trHeight w:val="18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0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задекларированный для уплаты в бюджет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сельского поселения, за 6 лет, предшествующих отчетному финансовому году (тыс. рублей)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E50" w:rsidRPr="00E06E50" w:rsidRDefault="00E06E50" w:rsidP="00EC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Управления Федеральной налоговой службы по сельского поселения</w:t>
            </w:r>
            <w:proofErr w:type="gramEnd"/>
          </w:p>
        </w:tc>
      </w:tr>
      <w:tr w:rsidR="00E06E50" w:rsidRPr="00E06E50" w:rsidTr="00E06E50"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E50" w:rsidRPr="00E06E50" w:rsidRDefault="00E06E50" w:rsidP="00E0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E50" w:rsidRPr="00E06E50" w:rsidRDefault="00E06E50" w:rsidP="00E06E50">
      <w:pPr>
        <w:spacing w:after="0" w:line="240" w:lineRule="auto"/>
        <w:ind w:right="60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E50" w:rsidRDefault="00E06E50"/>
    <w:p w:rsidR="00E06E50" w:rsidRDefault="00E06E50"/>
    <w:sectPr w:rsidR="00E0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0B3"/>
    <w:multiLevelType w:val="multilevel"/>
    <w:tmpl w:val="3AB824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575F"/>
    <w:multiLevelType w:val="multilevel"/>
    <w:tmpl w:val="1E5AE8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81569"/>
    <w:multiLevelType w:val="multilevel"/>
    <w:tmpl w:val="4594C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B0A78"/>
    <w:multiLevelType w:val="multilevel"/>
    <w:tmpl w:val="A6208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92BFF"/>
    <w:multiLevelType w:val="multilevel"/>
    <w:tmpl w:val="0A301B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F0D35"/>
    <w:multiLevelType w:val="multilevel"/>
    <w:tmpl w:val="9B8249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D2DC3"/>
    <w:multiLevelType w:val="multilevel"/>
    <w:tmpl w:val="A9E2EC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E1A"/>
    <w:multiLevelType w:val="multilevel"/>
    <w:tmpl w:val="4358D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C"/>
    <w:rsid w:val="0008431F"/>
    <w:rsid w:val="000D3A80"/>
    <w:rsid w:val="00157E41"/>
    <w:rsid w:val="00180DF4"/>
    <w:rsid w:val="001C6FF3"/>
    <w:rsid w:val="002329A9"/>
    <w:rsid w:val="00234ECE"/>
    <w:rsid w:val="003E5A4A"/>
    <w:rsid w:val="00441AD2"/>
    <w:rsid w:val="006B6BB1"/>
    <w:rsid w:val="006D528F"/>
    <w:rsid w:val="007461E2"/>
    <w:rsid w:val="00765C7C"/>
    <w:rsid w:val="008B1158"/>
    <w:rsid w:val="009C1D2C"/>
    <w:rsid w:val="00A40C20"/>
    <w:rsid w:val="00A871A0"/>
    <w:rsid w:val="00AE6376"/>
    <w:rsid w:val="00C76C2E"/>
    <w:rsid w:val="00CE65E4"/>
    <w:rsid w:val="00CF22C2"/>
    <w:rsid w:val="00CF4BAA"/>
    <w:rsid w:val="00D51DA4"/>
    <w:rsid w:val="00E06E50"/>
    <w:rsid w:val="00E32E4A"/>
    <w:rsid w:val="00EC5BF2"/>
    <w:rsid w:val="00F3681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RIX\Downloads\pr-post-01-11-2019-09-29-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TRIX\Downloads\pr-post-01-11-2019-09-29-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TRIX\Downloads\pr-post-01-11-2019-09-29-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TRIX\Downloads\pr-post-01-11-2019-09-29-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TRIX\Downloads\pr-post-01-11-2019-09-2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22</cp:revision>
  <dcterms:created xsi:type="dcterms:W3CDTF">2019-12-13T02:05:00Z</dcterms:created>
  <dcterms:modified xsi:type="dcterms:W3CDTF">2019-12-31T02:14:00Z</dcterms:modified>
</cp:coreProperties>
</file>