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 СЕЛЬСКОГО ПОСЕЛЕНИЯ «ХАДА-БУЛАКСКОЕ»</w:t>
      </w:r>
    </w:p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ЗАБАЙКАЛЬСКОГО КРАЯ</w:t>
      </w:r>
    </w:p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6B9D" w:rsidRDefault="002C6B9D" w:rsidP="002C6B9D">
      <w:pPr>
        <w:widowControl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C6B9D" w:rsidRDefault="002C6B9D" w:rsidP="002C6B9D">
      <w:pPr>
        <w:widowControl w:val="0"/>
        <w:spacing w:before="119" w:after="0" w:line="388" w:lineRule="exact"/>
        <w:ind w:left="732" w:righ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Хада-Булак</w:t>
      </w:r>
    </w:p>
    <w:p w:rsidR="002C6B9D" w:rsidRDefault="002C6B9D" w:rsidP="002C6B9D">
      <w:pPr>
        <w:widowControl w:val="0"/>
        <w:spacing w:before="119" w:after="0" w:line="388" w:lineRule="exact"/>
        <w:ind w:left="732" w:righ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 декабря 2019 года                                                                              № 49</w:t>
      </w:r>
    </w:p>
    <w:p w:rsidR="002C6B9D" w:rsidRDefault="002C6B9D" w:rsidP="002C6B9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2C6B9D" w:rsidRDefault="002C6B9D" w:rsidP="002C6B9D">
      <w:pPr>
        <w:widowControl w:val="0"/>
        <w:spacing w:before="220" w:after="0" w:line="242" w:lineRule="auto"/>
        <w:ind w:left="732" w:right="49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7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окладах (должностных окладах)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ставках заработной платы по профессиональным квалификационным группам работников администрации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C6B9D" w:rsidRDefault="002C6B9D" w:rsidP="002C6B9D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6B9D" w:rsidRDefault="002C6B9D" w:rsidP="002C6B9D">
      <w:pPr>
        <w:widowControl w:val="0"/>
        <w:spacing w:after="0" w:line="244" w:lineRule="auto"/>
        <w:ind w:left="395" w:right="146" w:firstLine="542"/>
        <w:jc w:val="both"/>
        <w:rPr>
          <w:rFonts w:ascii="Times New Roman" w:eastAsia="Times New Roman" w:hAnsi="Times New Roman"/>
          <w:w w:val="105"/>
          <w:sz w:val="28"/>
          <w:szCs w:val="28"/>
        </w:rPr>
      </w:pPr>
      <w:proofErr w:type="gramStart"/>
      <w:r>
        <w:rPr>
          <w:rFonts w:ascii="Times New Roman" w:eastAsia="Times New Roman" w:hAnsi="Times New Roman"/>
          <w:w w:val="105"/>
          <w:sz w:val="28"/>
          <w:szCs w:val="28"/>
        </w:rPr>
        <w:t>В целях совершенствования системы оплаты труда работников     администрации сельского поселения «</w:t>
      </w:r>
      <w:proofErr w:type="spellStart"/>
      <w:r>
        <w:rPr>
          <w:rFonts w:ascii="Times New Roman" w:eastAsia="Times New Roman" w:hAnsi="Times New Roman"/>
          <w:w w:val="105"/>
          <w:sz w:val="28"/>
          <w:szCs w:val="28"/>
        </w:rPr>
        <w:t>Хада-Булакское</w:t>
      </w:r>
      <w:proofErr w:type="spellEnd"/>
      <w:r>
        <w:rPr>
          <w:rFonts w:ascii="Times New Roman" w:eastAsia="Times New Roman" w:hAnsi="Times New Roman"/>
          <w:w w:val="105"/>
          <w:sz w:val="28"/>
          <w:szCs w:val="28"/>
        </w:rPr>
        <w:t xml:space="preserve">», руководствуясь ст. 144 Трудового кодекса Российской Федерации, постановлением Правительства Забайкальского края от 30 июня 2014 года № 382 «О базовых окладах  </w:t>
      </w:r>
      <w:r>
        <w:rPr>
          <w:rFonts w:ascii="Times New Roman" w:hAnsi="Times New Roman"/>
          <w:sz w:val="28"/>
          <w:szCs w:val="28"/>
        </w:rPr>
        <w:t>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края, Решением Совета муниципального района «Оловяннинский район», Постановлением муниципального района «Оловяннинский район» от 25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2019 г.  № 300,  </w:t>
      </w:r>
      <w:r>
        <w:rPr>
          <w:rFonts w:ascii="Times New Roman" w:eastAsia="Times New Roman" w:hAnsi="Times New Roman"/>
          <w:w w:val="105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w w:val="105"/>
          <w:sz w:val="28"/>
          <w:szCs w:val="28"/>
        </w:rPr>
        <w:t>Хада-Булакское</w:t>
      </w:r>
      <w:proofErr w:type="spellEnd"/>
      <w:r>
        <w:rPr>
          <w:rFonts w:ascii="Times New Roman" w:eastAsia="Times New Roman" w:hAnsi="Times New Roman"/>
          <w:w w:val="10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</w:t>
      </w:r>
    </w:p>
    <w:p w:rsidR="002C6B9D" w:rsidRDefault="002C6B9D" w:rsidP="002C6B9D">
      <w:pPr>
        <w:widowControl w:val="0"/>
        <w:spacing w:after="0" w:line="244" w:lineRule="auto"/>
        <w:ind w:left="395" w:right="146" w:firstLine="542"/>
        <w:rPr>
          <w:rFonts w:ascii="Times New Roman" w:eastAsia="Times New Roman" w:hAnsi="Times New Roman"/>
          <w:bCs/>
          <w:w w:val="105"/>
          <w:sz w:val="28"/>
          <w:szCs w:val="28"/>
        </w:rPr>
      </w:pPr>
    </w:p>
    <w:p w:rsidR="002C6B9D" w:rsidRDefault="002C6B9D" w:rsidP="002C6B9D">
      <w:pPr>
        <w:widowControl w:val="0"/>
        <w:spacing w:after="0" w:line="244" w:lineRule="auto"/>
        <w:ind w:left="395" w:right="146" w:firstLine="5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105"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w w:val="130"/>
          <w:sz w:val="28"/>
          <w:szCs w:val="28"/>
        </w:rPr>
        <w:t>:</w:t>
      </w:r>
    </w:p>
    <w:p w:rsidR="002C6B9D" w:rsidRDefault="002C6B9D" w:rsidP="002C6B9D">
      <w:pPr>
        <w:widowControl w:val="0"/>
        <w:spacing w:before="1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B9D" w:rsidRDefault="002C6B9D" w:rsidP="002C6B9D">
      <w:pPr>
        <w:widowControl w:val="0"/>
        <w:numPr>
          <w:ilvl w:val="0"/>
          <w:numId w:val="1"/>
        </w:numPr>
        <w:tabs>
          <w:tab w:val="left" w:pos="1284"/>
        </w:tabs>
        <w:spacing w:after="0" w:line="244" w:lineRule="auto"/>
        <w:ind w:right="151" w:firstLine="5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размеры окладов  (должностных окладов)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ставок заработной платы по профессиональным квалификационным группам работников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6B9D" w:rsidRDefault="002C6B9D" w:rsidP="002C6B9D">
      <w:pPr>
        <w:widowControl w:val="0"/>
        <w:numPr>
          <w:ilvl w:val="0"/>
          <w:numId w:val="1"/>
        </w:numPr>
        <w:tabs>
          <w:tab w:val="left" w:pos="1284"/>
        </w:tabs>
        <w:spacing w:after="0" w:line="244" w:lineRule="auto"/>
        <w:ind w:right="151" w:firstLine="5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решение обнародовать на информационном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стенде  в администрации  сельского 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Хада-Булакское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и  опубликовать на  официальном сайте  </w:t>
      </w:r>
      <w:hyperlink r:id="rId6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2C6B9D" w:rsidRDefault="002C6B9D" w:rsidP="002C6B9D">
      <w:pPr>
        <w:widowControl w:val="0"/>
        <w:numPr>
          <w:ilvl w:val="0"/>
          <w:numId w:val="1"/>
        </w:numPr>
        <w:tabs>
          <w:tab w:val="left" w:pos="1284"/>
        </w:tabs>
        <w:spacing w:after="0" w:line="244" w:lineRule="auto"/>
        <w:ind w:right="151" w:firstLine="572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распространяется  на правоотношения, возникшие с 01 октября 2019 года.</w:t>
      </w:r>
    </w:p>
    <w:p w:rsidR="002C6B9D" w:rsidRDefault="002C6B9D" w:rsidP="002C6B9D">
      <w:pPr>
        <w:widowControl w:val="0"/>
        <w:tabs>
          <w:tab w:val="left" w:pos="1284"/>
        </w:tabs>
        <w:spacing w:after="0" w:line="244" w:lineRule="auto"/>
        <w:ind w:left="976"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6B9D" w:rsidRDefault="002C6B9D" w:rsidP="002C6B9D">
      <w:pPr>
        <w:widowControl w:val="0"/>
        <w:spacing w:after="0" w:line="240" w:lineRule="auto"/>
      </w:pPr>
    </w:p>
    <w:p w:rsidR="002C6B9D" w:rsidRDefault="002C6B9D" w:rsidP="002C6B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С.Н. Реутова</w:t>
      </w:r>
    </w:p>
    <w:p w:rsidR="002C6B9D" w:rsidRDefault="002C6B9D" w:rsidP="002C6B9D">
      <w:pPr>
        <w:spacing w:after="0" w:line="240" w:lineRule="auto"/>
        <w:rPr>
          <w:rFonts w:ascii="Times New Roman" w:hAnsi="Times New Roman"/>
          <w:sz w:val="28"/>
          <w:szCs w:val="28"/>
        </w:rPr>
        <w:sectPr w:rsidR="002C6B9D">
          <w:pgSz w:w="12440" w:h="17160"/>
          <w:pgMar w:top="1134" w:right="850" w:bottom="1134" w:left="1701" w:header="720" w:footer="720" w:gutter="0"/>
          <w:cols w:space="720"/>
        </w:sectPr>
      </w:pPr>
    </w:p>
    <w:p w:rsidR="002C6B9D" w:rsidRDefault="002C6B9D" w:rsidP="002C6B9D">
      <w:pPr>
        <w:tabs>
          <w:tab w:val="left" w:pos="51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Утверждено 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«31» декабря 2019 г. № 49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C6B9D" w:rsidRDefault="002C6B9D" w:rsidP="002C6B9D">
      <w:pPr>
        <w:tabs>
          <w:tab w:val="left" w:pos="51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B9D" w:rsidRDefault="002C6B9D" w:rsidP="002C6B9D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базовых окладов  </w:t>
      </w:r>
      <w:r>
        <w:rPr>
          <w:rFonts w:ascii="Times New Roman" w:hAnsi="Times New Roman"/>
          <w:b/>
          <w:sz w:val="28"/>
          <w:szCs w:val="28"/>
        </w:rPr>
        <w:t>(базовых должностных окладов) по профессиональным квалификационным группам работников администрации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C6B9D" w:rsidRDefault="002C6B9D" w:rsidP="002C6B9D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9D" w:rsidRDefault="002C6B9D" w:rsidP="002C6B9D">
      <w:pPr>
        <w:pStyle w:val="a3"/>
        <w:numPr>
          <w:ilvl w:val="0"/>
          <w:numId w:val="2"/>
        </w:num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«Общеотраслевых профессий рабочих»</w:t>
      </w: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9D" w:rsidRDefault="002C6B9D" w:rsidP="002C6B9D">
      <w:pPr>
        <w:pStyle w:val="a3"/>
        <w:numPr>
          <w:ilvl w:val="1"/>
          <w:numId w:val="2"/>
        </w:num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рабочего первого уровня»</w:t>
      </w: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ind w:left="117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630"/>
        <w:gridCol w:w="2714"/>
      </w:tblGrid>
      <w:tr w:rsidR="002C6B9D" w:rsidTr="002C6B9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D" w:rsidRDefault="002C6B9D">
            <w:pPr>
              <w:tabs>
                <w:tab w:val="left" w:pos="51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отнесённые к квалификационным уровням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2C6B9D" w:rsidTr="002C6B9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рабочих, по которым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присвоение 1,2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рабочих: сторож; уборщик служебных помещений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</w:t>
            </w:r>
          </w:p>
        </w:tc>
      </w:tr>
    </w:tbl>
    <w:p w:rsidR="002C6B9D" w:rsidRDefault="002C6B9D" w:rsidP="002C6B9D">
      <w:pPr>
        <w:pStyle w:val="a3"/>
        <w:tabs>
          <w:tab w:val="left" w:pos="5145"/>
        </w:tabs>
        <w:spacing w:after="0" w:line="240" w:lineRule="auto"/>
        <w:ind w:left="1170"/>
        <w:rPr>
          <w:rFonts w:ascii="Times New Roman" w:hAnsi="Times New Roman"/>
          <w:sz w:val="28"/>
          <w:szCs w:val="28"/>
        </w:rPr>
      </w:pP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ind w:left="1170"/>
        <w:rPr>
          <w:rFonts w:ascii="Times New Roman" w:hAnsi="Times New Roman"/>
          <w:sz w:val="28"/>
          <w:szCs w:val="28"/>
        </w:rPr>
      </w:pPr>
    </w:p>
    <w:p w:rsidR="002C6B9D" w:rsidRDefault="002C6B9D" w:rsidP="002C6B9D">
      <w:pPr>
        <w:pStyle w:val="a3"/>
        <w:numPr>
          <w:ilvl w:val="1"/>
          <w:numId w:val="2"/>
        </w:num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рабочего второго уровня»</w:t>
      </w:r>
    </w:p>
    <w:p w:rsidR="002C6B9D" w:rsidRDefault="002C6B9D" w:rsidP="002C6B9D">
      <w:pPr>
        <w:pStyle w:val="a3"/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3630"/>
        <w:gridCol w:w="2714"/>
      </w:tblGrid>
      <w:tr w:rsidR="002C6B9D" w:rsidTr="002C6B9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D" w:rsidRDefault="002C6B9D">
            <w:pPr>
              <w:tabs>
                <w:tab w:val="left" w:pos="51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отнесённые к квалификационным уровням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2C6B9D" w:rsidTr="002C6B9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рабочих, по которым предусмотрено присвоение 5 квалифик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ационного разряда в соответствии с Единым тарифн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квалификационным справочником работ и профессий рабочих: водитель автомобиля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D" w:rsidRDefault="002C6B9D">
            <w:pPr>
              <w:pStyle w:val="a3"/>
              <w:tabs>
                <w:tab w:val="left" w:pos="514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5438</w:t>
            </w:r>
          </w:p>
        </w:tc>
      </w:tr>
    </w:tbl>
    <w:p w:rsidR="002C6B9D" w:rsidRDefault="002C6B9D" w:rsidP="002C6B9D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D1F" w:rsidRDefault="00053D1F"/>
    <w:sectPr w:rsidR="0005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63"/>
    <w:multiLevelType w:val="multilevel"/>
    <w:tmpl w:val="BFEC6A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95A5037"/>
    <w:multiLevelType w:val="hybridMultilevel"/>
    <w:tmpl w:val="44B088F0"/>
    <w:lvl w:ilvl="0" w:tplc="09DED314">
      <w:start w:val="1"/>
      <w:numFmt w:val="decimal"/>
      <w:lvlText w:val="%1."/>
      <w:lvlJc w:val="left"/>
      <w:pPr>
        <w:ind w:left="404" w:hanging="30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62B054C6">
      <w:start w:val="1"/>
      <w:numFmt w:val="decimal"/>
      <w:lvlText w:val="%2."/>
      <w:lvlJc w:val="left"/>
      <w:pPr>
        <w:ind w:left="4314" w:hanging="274"/>
      </w:pPr>
      <w:rPr>
        <w:rFonts w:ascii="Times New Roman" w:eastAsia="Times New Roman" w:hAnsi="Times New Roman" w:cs="Times New Roman" w:hint="default"/>
        <w:b/>
        <w:bCs/>
        <w:color w:val="131315"/>
        <w:w w:val="101"/>
        <w:sz w:val="27"/>
        <w:szCs w:val="27"/>
      </w:rPr>
    </w:lvl>
    <w:lvl w:ilvl="2" w:tplc="82B8565E">
      <w:start w:val="1"/>
      <w:numFmt w:val="bullet"/>
      <w:lvlText w:val="•"/>
      <w:lvlJc w:val="left"/>
      <w:pPr>
        <w:ind w:left="7960" w:hanging="274"/>
      </w:pPr>
    </w:lvl>
    <w:lvl w:ilvl="3" w:tplc="EAA0B9C4">
      <w:start w:val="1"/>
      <w:numFmt w:val="bullet"/>
      <w:lvlText w:val="•"/>
      <w:lvlJc w:val="left"/>
      <w:pPr>
        <w:ind w:left="8188" w:hanging="274"/>
      </w:pPr>
    </w:lvl>
    <w:lvl w:ilvl="4" w:tplc="087E0D08">
      <w:start w:val="1"/>
      <w:numFmt w:val="bullet"/>
      <w:lvlText w:val="•"/>
      <w:lvlJc w:val="left"/>
      <w:pPr>
        <w:ind w:left="8417" w:hanging="274"/>
      </w:pPr>
    </w:lvl>
    <w:lvl w:ilvl="5" w:tplc="2D104E22">
      <w:start w:val="1"/>
      <w:numFmt w:val="bullet"/>
      <w:lvlText w:val="•"/>
      <w:lvlJc w:val="left"/>
      <w:pPr>
        <w:ind w:left="8645" w:hanging="274"/>
      </w:pPr>
    </w:lvl>
    <w:lvl w:ilvl="6" w:tplc="E38ACAA2">
      <w:start w:val="1"/>
      <w:numFmt w:val="bullet"/>
      <w:lvlText w:val="•"/>
      <w:lvlJc w:val="left"/>
      <w:pPr>
        <w:ind w:left="8874" w:hanging="274"/>
      </w:pPr>
    </w:lvl>
    <w:lvl w:ilvl="7" w:tplc="276CD4A2">
      <w:start w:val="1"/>
      <w:numFmt w:val="bullet"/>
      <w:lvlText w:val="•"/>
      <w:lvlJc w:val="left"/>
      <w:pPr>
        <w:ind w:left="9102" w:hanging="274"/>
      </w:pPr>
    </w:lvl>
    <w:lvl w:ilvl="8" w:tplc="06BCBCAE">
      <w:start w:val="1"/>
      <w:numFmt w:val="bullet"/>
      <w:lvlText w:val="•"/>
      <w:lvlJc w:val="left"/>
      <w:pPr>
        <w:ind w:left="9331" w:hanging="27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09"/>
    <w:rsid w:val="00053D1F"/>
    <w:rsid w:val="002C6B9D"/>
    <w:rsid w:val="00A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9D"/>
    <w:pPr>
      <w:ind w:left="720"/>
      <w:contextualSpacing/>
    </w:pPr>
  </w:style>
  <w:style w:type="table" w:styleId="a4">
    <w:name w:val="Table Grid"/>
    <w:basedOn w:val="a1"/>
    <w:uiPriority w:val="59"/>
    <w:rsid w:val="002C6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C6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9D"/>
    <w:pPr>
      <w:ind w:left="720"/>
      <w:contextualSpacing/>
    </w:pPr>
  </w:style>
  <w:style w:type="table" w:styleId="a4">
    <w:name w:val="Table Grid"/>
    <w:basedOn w:val="a1"/>
    <w:uiPriority w:val="59"/>
    <w:rsid w:val="002C6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C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2020-02-26T01:43:00Z</cp:lastPrinted>
  <dcterms:created xsi:type="dcterms:W3CDTF">2020-02-26T01:36:00Z</dcterms:created>
  <dcterms:modified xsi:type="dcterms:W3CDTF">2020-02-26T01:44:00Z</dcterms:modified>
</cp:coreProperties>
</file>