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D" w:rsidRDefault="004601FD" w:rsidP="004601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B72" w:rsidRDefault="00C7220F" w:rsidP="00C7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7220F" w:rsidRPr="00AD7231" w:rsidRDefault="00C7220F" w:rsidP="00C7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7220F" w:rsidRPr="00AD7231" w:rsidRDefault="00C7220F" w:rsidP="00C7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C7220F" w:rsidRPr="00AD7231" w:rsidRDefault="00C7220F" w:rsidP="00C7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20F" w:rsidRPr="00AD7231" w:rsidRDefault="00C7220F" w:rsidP="00C7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220F" w:rsidRPr="00AD7231" w:rsidRDefault="00C7220F" w:rsidP="00C72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20F" w:rsidRPr="00AD7231" w:rsidRDefault="00D71647" w:rsidP="00C7220F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2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 w:rsidR="002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358</w:t>
      </w:r>
    </w:p>
    <w:p w:rsidR="00C7220F" w:rsidRPr="00AD7231" w:rsidRDefault="00C7220F" w:rsidP="00C7220F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C7220F" w:rsidRPr="00AD7231" w:rsidRDefault="00C7220F" w:rsidP="00C7220F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Pr="00AD7231" w:rsidRDefault="00C7220F" w:rsidP="00C7220F">
      <w:pPr>
        <w:tabs>
          <w:tab w:val="left" w:pos="76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 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«Читинский район»  о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татах</w:t>
      </w:r>
      <w:r w:rsidR="002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bookmarkStart w:id="0" w:name="_GoBack"/>
      <w:bookmarkEnd w:id="0"/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2012 год</w:t>
      </w:r>
      <w:r w:rsidR="002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220F" w:rsidRPr="00AD7231" w:rsidRDefault="00C7220F" w:rsidP="00C7220F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Pr="00AD7231" w:rsidRDefault="002A6B72" w:rsidP="00C7220F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отчет </w:t>
      </w:r>
      <w:r w:rsidR="00C7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 о резуль</w:t>
      </w:r>
      <w:r w:rsidR="00C7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72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за 2012 год, в соответствии с пунктом  5.1 статьи  36  ФЗ-131 «Об общих принципах организации местного самоуправления в </w:t>
      </w:r>
      <w:r w:rsidR="00D71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пунктом 1 пункта 5.1 статьи 22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«Читинский район», Совет муниципального района «Читинский район»   </w:t>
      </w:r>
      <w:r w:rsidR="00C7220F"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C7220F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C7220F" w:rsidRPr="00AD7231" w:rsidRDefault="00C7220F" w:rsidP="00C7220F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D7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  за 2012 год признать</w:t>
      </w:r>
      <w:r w:rsidR="002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20F" w:rsidRPr="00AD7231" w:rsidRDefault="00C7220F" w:rsidP="00C7220F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Президиуму Совета муниципального района «</w:t>
      </w:r>
      <w:r w:rsidR="002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Читинский район» в срок до 05.04.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обобщить замечания и предложения, высказанные депутатами Совета муниципального района «Читинский район» в ходе обсуждения отчета</w:t>
      </w:r>
      <w:r w:rsidR="002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2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 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</w:t>
      </w:r>
      <w:r w:rsidR="0046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6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 за 2012 год и направить их в администрацию муниципального района «Читинский район».</w:t>
      </w:r>
      <w:proofErr w:type="gramEnd"/>
    </w:p>
    <w:p w:rsidR="00C7220F" w:rsidRPr="00AD7231" w:rsidRDefault="00C7220F" w:rsidP="00C7220F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муниципального района «Читинский район».</w:t>
      </w:r>
    </w:p>
    <w:p w:rsidR="00C7220F" w:rsidRPr="00AD7231" w:rsidRDefault="00C7220F" w:rsidP="00C7220F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 и настоящее решение опубликовать в районной газете «Ингода» и разместить на сайте администрации муниципального района «Читинский район»</w:t>
      </w:r>
    </w:p>
    <w:p w:rsidR="00C7220F" w:rsidRPr="00AD7231" w:rsidRDefault="00C7220F" w:rsidP="00C7220F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Pr="00AD7231" w:rsidRDefault="00C7220F" w:rsidP="00C7220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Pr="00AD7231" w:rsidRDefault="00C7220F" w:rsidP="00C7220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Pr="00AD7231" w:rsidRDefault="00C7220F" w:rsidP="00C7220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Pr="00AD7231" w:rsidRDefault="00C7220F" w:rsidP="00C7220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района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20F" w:rsidRDefault="00C7220F" w:rsidP="00C7220F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Н.К.Бурак</w:t>
      </w:r>
    </w:p>
    <w:p w:rsidR="00833475" w:rsidRDefault="00833475" w:rsidP="00C7220F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75" w:rsidRDefault="00833475" w:rsidP="00C7220F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75" w:rsidRDefault="00833475" w:rsidP="00C7220F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75" w:rsidRPr="00CB0290" w:rsidRDefault="00833475" w:rsidP="00833475">
      <w:pPr>
        <w:spacing w:before="100" w:beforeAutospacing="1" w:after="100" w:afterAutospacing="1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339900"/>
          <w:kern w:val="36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b/>
          <w:bCs/>
          <w:color w:val="339900"/>
          <w:kern w:val="36"/>
          <w:sz w:val="28"/>
          <w:szCs w:val="28"/>
          <w:lang w:eastAsia="ru-RU"/>
        </w:rPr>
        <w:lastRenderedPageBreak/>
        <w:t>Отчёт И.О.Главы муниципального района «Читинский район» о результатах деятельности за 2012 год.</w:t>
      </w:r>
    </w:p>
    <w:p w:rsidR="00833475" w:rsidRDefault="00833475" w:rsidP="0083347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 муниципального района «Читинский район» представляю ежегодный отчёт за 2012 год о результатах моей деятельности в должности И.О.Главы муниципального района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«Читинский район».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Изложу  основные направления деятельности в 2012 году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марте 2012 года прошли выборы Президента Российской Федерации.                  В это же время прошли выборы глав и депутатов представительных органов поселени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й. В них приняли участие  28410 избирателей или  56,74</w:t>
      </w:r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%. В декабре 2012 года проходили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внеочередные </w:t>
      </w:r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выборы в городском поселении «</w:t>
      </w:r>
      <w:proofErr w:type="spellStart"/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Атамановское</w:t>
      </w:r>
      <w:proofErr w:type="spellEnd"/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 и сельском поселении «</w:t>
      </w:r>
      <w:proofErr w:type="spellStart"/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Домнинское</w:t>
      </w:r>
      <w:proofErr w:type="spellEnd"/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». В них приня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ло участие в пределах  25 % избирателей.</w:t>
      </w:r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Это  не просто участие нашего населения в избирательной кампании,  это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-</w:t>
      </w:r>
      <w:r w:rsidRPr="005A289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осознанный  выбор каждого гражданина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По сравнению с мартовской избирательной кампанией, активность избирателей в декабрьских выборах глав поселений кратно понизилась (причина низкой явки избирателей: либо пассивность населения, либо не на должном уровне агитационная работа кандидатов).</w:t>
      </w:r>
    </w:p>
    <w:p w:rsidR="00833475" w:rsidRDefault="00833475" w:rsidP="0083347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минувшем году главным в моей работе было принятие исчерпывающих мер, направленных на обеспечение социально-экономической стабильности в районе, поддержание законности и правопорядка, удовлетворение жизненных потре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бностей жителей нашего района.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 Главы, представительного органа и исполнительного органа районной власти разные функции, хотя в целом вся наша работа направлена именно на динамичное и последовательное развитие района.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         О</w:t>
      </w: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собое значение в системе органов местного самоуправления принадлежит представительным органам муниципальных образований. Именно представительные органы имеют особую связь с населением своего </w:t>
      </w: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lastRenderedPageBreak/>
        <w:t>муниципального образования - непосредственно выражают его волю, формализуя ее в принимаемых решениях.</w:t>
      </w:r>
    </w:p>
    <w:p w:rsidR="00833475" w:rsidRPr="00D36B5B" w:rsidRDefault="00833475" w:rsidP="0083347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В состав Совета </w:t>
      </w: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муниципального района «Читински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й район»   избрано 15 депутатов.</w:t>
      </w:r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 представительные органы городских и сельских поселений избрано 204   депутата.</w:t>
      </w:r>
    </w:p>
    <w:p w:rsidR="00833475" w:rsidRPr="00D36B5B" w:rsidRDefault="00833475" w:rsidP="008334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Принимая во внимание, что основными функциями представительного органа муниципального образования являю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тся правотворчество и контроль,</w:t>
      </w:r>
    </w:p>
    <w:p w:rsidR="00833475" w:rsidRPr="00D36B5B" w:rsidRDefault="00833475" w:rsidP="00833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</w:t>
      </w: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нимание депутатов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было направлено </w:t>
      </w: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на</w:t>
      </w:r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r w:rsidRPr="00D36B5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обеспечение и реализацию на территории района Федерального закона № 131-ФЗ, приведение ранее принятых нормативных актов в соответствие с требованиями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изменившегося законодательства.</w:t>
      </w:r>
    </w:p>
    <w:p w:rsidR="00833475" w:rsidRDefault="00833475" w:rsidP="00833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Одно из главных моих полномочий – организация работы Совета муниципального района и руководство им. Деятельность Совета в 2012 году осуществлялась в рамках федерального и краевого  законодательств, на основе утвержденного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годового и ежемесячных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планов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работы.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gramStart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 отчётный период проведе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 11 заседаний Совета муниципального района – то есть за исключением одного, каждый месяц депутаты районного Совета работали по рассмотрению представленных  материалов)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11 заседаний Президиума Совета муниципального района,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где рассмотрено и принято 59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решений.</w:t>
      </w:r>
      <w:proofErr w:type="gramEnd"/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Их структура следующая: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правовые акты, вопросы социальной сферы,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распоряжение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имуществом землей и др.</w:t>
      </w:r>
    </w:p>
    <w:p w:rsidR="00833475" w:rsidRPr="00CB0290" w:rsidRDefault="00833475" w:rsidP="00833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 исключ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ительной компетентности Совета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относится формирование, совершенствование и дальнейшее развитие н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ормативной правовой базы нашего района.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Что же сделано в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данном направлении?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Наш главный документ – Устав  муниципального района «Читинский район» в очередной раз претерпел ряд изменений. Необходимость внесения изменений в Устав  муниципального района была обусловлена изменениями Федеральн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ого законодательства, изменениями по структуре  контрольно-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ревизионного органа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результате в 2012 году Устав муниципального района был принят в новой редакции.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Вопросы формирования и исполнения бюджета на каждом заседании Совета муниципального района  были и остаются в числе наиболее важных, а принятые по ним решения составляют суть финансово-экономической пол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итики органов районной власти. Каждое полугодие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рассматривались итоги исполнения бюджета текущего года,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почти на каждом заседании Совета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вносились изменения и корректировки. Районный бюджет, как и прежде, в 2012 году сохранил св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ою социальную направленность.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Pr="00CB029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бщий объем доходов бюджета муниципального района «Читинский район» в сумме  916523,8 тыс. рублей, в том числе безвозмездные перечисления в сумме   560404,8 тыс</w:t>
      </w:r>
      <w:proofErr w:type="gramStart"/>
      <w:r w:rsidRPr="00CB029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.р</w:t>
      </w:r>
      <w:proofErr w:type="gramEnd"/>
      <w:r w:rsidRPr="00CB029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ублей;</w:t>
      </w:r>
    </w:p>
    <w:p w:rsidR="00833475" w:rsidRPr="0090301B" w:rsidRDefault="00833475" w:rsidP="008334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0301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>2)  общий объем расходов бюджета муниципального района «Читинский район» в сумме 943584,2 тыс. рублей;</w:t>
      </w:r>
    </w:p>
    <w:p w:rsidR="00833475" w:rsidRDefault="00833475" w:rsidP="008334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0301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proofErr w:type="gramStart"/>
      <w:r w:rsidRPr="0090301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3) размер дефицита бюджета муниципального района «Читинский район» в сумме   27060,4 тыс. рублей.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</w:t>
      </w:r>
      <w:proofErr w:type="gramEnd"/>
    </w:p>
    <w:p w:rsidR="00833475" w:rsidRDefault="00833475" w:rsidP="008334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соответствии с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Бюджетным кодексом Российской Федерации, решением Совета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муниципального района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утверждены: отчёт об исполнении бюджета за 2011 год,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бюджет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района на 2013 год.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Говоря о бюджете района и о блоке финансовых вопросов, вносимых на рассмотрение депутатского корпуса, необходимо отметить, что документы готовились обстоятельно. И здесь достаточно весомая роль принадлежит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комитету по финансам администрации муниципального района,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постоянной комиссии по бюджетной и экономической политике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Президиуму Совета муниципального района.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Каждый проект, каждая позиция подвергались анализу, проверке обоснованности как исполненных, так и планируемых бюджетных операций.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Активно принимали участие в работе Президиума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Ермольева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Н.А.,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Большакова О.П., Холмогоров А.А.,</w:t>
      </w:r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Щербаков Р.С.,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Суханюк</w:t>
      </w:r>
      <w:proofErr w:type="spellEnd"/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В.Н., </w:t>
      </w:r>
      <w:proofErr w:type="spellStart"/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Зайдель</w:t>
      </w:r>
      <w:proofErr w:type="spellEnd"/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В.В., </w:t>
      </w:r>
      <w:proofErr w:type="spellStart"/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Гатапов</w:t>
      </w:r>
      <w:proofErr w:type="spellEnd"/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 Ш., Борисова Т.Н.и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депутаты, присутствующие на сессиях Совета, не были безучастны по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рассматриваемым вопросам.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Работа в области формирования и исполнения районного бюджета неразрывно связана с блоком экономических вопросов и вопросов управления и распоряжения муниципальной собственностью района.</w:t>
      </w:r>
    </w:p>
    <w:p w:rsidR="00833475" w:rsidRDefault="00833475" w:rsidP="008334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Работа  всех коллективов района осуществлялась в соответствии с утвержденным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Планом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социально-экономического развития  му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ниципального района, основанного на учете достигнутого уровня социально-экономического развития района, интересов населения, выявленных проблем и возможностей развития нашего муниципального района.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Неоднократно рассматривались вопросы, связанные с учётом наличия и изменения состава муниципальной собственности, владения, пользования землёй, распоряжения муниципальным имуществом.</w:t>
      </w:r>
    </w:p>
    <w:p w:rsidR="00833475" w:rsidRDefault="00833475" w:rsidP="008334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Что касается социальной сферы, то работу депутатов нельзя представить обособленно в перечне дел и правовых актов только этой направленности. Стратегия районной муниципальной власти является в целом социально ориентированной.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течение всего прошедшего года контролировались вопросы модернизации социальной сферы. В целом на модернизацию образования в  муниципальном районе в 2012 году из федераль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ного бюджета выделено 47 853,5 тыс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ублей 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Из краевого бюджета предоставлена су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бвенция в сумме 1661,0тыс.рублей. Однако вопросы по эффективности использования бюджетных средств комитетом образования еще возникают.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Важным направлением реализации проекта модернизации образования является введение федеральных государственных образовательных стандартов начального и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основного общего образования.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 рамках активизации деятельности культурно</w:t>
      </w:r>
      <w:r w:rsidR="006F1A2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осуговых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учреждений района, Советом муниципального района за счет средств бюджета муниципального района были предусмотрены и эффективно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освоены  администрациями муниципального района и поселений денежные средства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на реконструкцию и строительство объектов культуры в поселениях в сумме 5463,1 тыс. рублей.</w:t>
      </w:r>
    </w:p>
    <w:p w:rsidR="00833475" w:rsidRPr="00431F9D" w:rsidRDefault="00833475" w:rsidP="008334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Общая целенаправленная работа привела к улучшению демографической ситуации на территории нашего района. 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Численность постоянного населения составляет 65108 чел.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Основные показатели, являющиеся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индикатором реализации программы: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 рождаемость 7.8 чел. на 1000 чел.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смертность  6,5 чел.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 1000 чел.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Несмотря на эти положительные результаты, есть ещё жалобы граждан на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несоответствие здания ГУЗ ЦРБ, а как следствие -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качество предоставляемых медицинских услуг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могло быть лучше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напряжёнными остаются в районе вопросы обеспечения кадрами муниципальных учреждений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культуры, образования (в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том числе в последнее время обозначилась проблема в этой сфере по управленческим кадрам)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изкая заработная плата муниципальных служащих. По указанным вопросам Совет муниципального района обращался к Губернатору Забайкальского края, получены разъяснения, однако удовлетворения они не принесли, так как ориентировали на местный бюджет.</w:t>
      </w:r>
    </w:p>
    <w:p w:rsidR="00833475" w:rsidRPr="005A2891" w:rsidRDefault="00833475" w:rsidP="0083347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соответствии с Федеральным законом №131 «Об общих принципах организации местного самоуправления в Российской Федерации» представительный орган наделён полномочиями </w:t>
      </w:r>
      <w:proofErr w:type="gramStart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контроля за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деятельностью исполнительной власти и деятельностью должностных лиц по реализации полномочий по вопросам местного значения. На заседаниях Совета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дважды в 2012 году был заслушан отчет о деятельности ОМВД по Читинскому району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(В частности  были обозначены проблемы по реагированию на нарушения в сфере  лесного законодательства, по охране 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как граждан так и юридических  лиц).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Система взаимодействия с прокуратурой Читинского района в вопросах проверки проектов решений на соответствие их действующему законодательству работала в прежнем режиме. Прокуратурой в 2012 году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внесен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 11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протестов, из которых Совет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ом муниципального района удовлетворено 10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,отклоне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но-1.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 могу не остановиться ещё на таком аспекте работы, как взаимодействие с органами местного самоуправления поселений.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В соответствии с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Уставами муниципальных образований, представительными органами поселений  рассмотрены и приняты решения по заключению соглашений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2012 году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а исполнение полномочий утверждено на уровне Совета муниципального района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в области земельного контроля, к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азначейского исполнения бюджета, управления и распоряжением имущества и градостроения и  другие.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 фактически диапазон взаимодействия муниципалитетов шире рамок соглашений по конкретным полномочиям. Это и консолидированный бюджет, и единство всех систем жизнеобеспечения и безопасности района, и общность экономических и социально-политическ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их целей.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отчётном году проведено 10 совещаний с главами муниципальных образований сельских поселений по вопросам, требующим безотлагательного решения. Систематически посещались муниципальные образования  муниципального района, где мною проведены встречи с депутатами Советов муниципальных об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разований,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 жителями; посещены объекты социальной сферы, сельскохозяйственные предприятия и кресть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янские (фермерские) хозяйства.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gramStart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Я благодарен главам поселений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Ледневу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М.П., Дмитриеву С.В., Гудкову В.Н., Журавлевой Т.А., Присяжнюк Г.А.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Цирельниковой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Л.И,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Гармаеву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Н.Д.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практически, за исключением единиц, всем главам поселений,)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 взаимопонимание и поддержку в вопросах, требующих совместных наших усилий, и надеюсь на дальнейшую совместную конструктивную работу в решении стоящих перед нами задач.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5A2891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 целях обеспечения развития местного самоуправления, исходя из взаимного стремления к расширению взаимодействия, в инт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ересах населения Совет муниципального </w:t>
      </w:r>
      <w:r w:rsidRPr="005A2891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района и представительные органы поселений, </w:t>
      </w:r>
      <w:r w:rsidRPr="005A2891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lastRenderedPageBreak/>
        <w:t xml:space="preserve">входящие в состав Читинского  района сотрудничество осуществляют на условиях  партнерства. </w:t>
      </w:r>
    </w:p>
    <w:p w:rsidR="00833475" w:rsidRPr="00741DBB" w:rsidRDefault="00833475" w:rsidP="0083347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</w:t>
      </w:r>
      <w:r w:rsidRPr="005A2891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2012 году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с</w:t>
      </w:r>
      <w:r w:rsidRPr="005A2891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отрудничество представительного органа района и сельских представительных органов  приобрело системный характер и стало более активным.</w:t>
      </w:r>
    </w:p>
    <w:p w:rsidR="00833475" w:rsidRPr="004D7D5C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4D7D5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Осуществляя взаимодействие с представительными органами поселений, слова благодарности нужно сказать администрации муниципального района, которая использует различные формы работы, приоритетными из которых являются: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4D7D5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           1. Методическая помощь в обеспечении нормотворческой деятельности представительных органов поселений (осуществление рекомендаций, направление образцов некоторых документов).</w:t>
      </w:r>
    </w:p>
    <w:p w:rsidR="00833475" w:rsidRPr="00741DBB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4D7D5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Кроме того, по обращениям представительных органов поселений   предоставляется возможность использования информационной базы района при подготовке отдельных нормативных правовых актов представительных органов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. </w:t>
      </w:r>
    </w:p>
    <w:p w:rsidR="00833475" w:rsidRPr="004D7D5C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4D7D5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 2. Организация развития контактов между депутатами, обучение депутатов поселений.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4D7D5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     В целях активизации деятельности депутатов в работе с избирателями, в работе представительных органов, в вопросах информирования о своей депутатской деятельности и о деятельности представительного органа в целом, осуществляется комплекс мероприятий, направленных на развитие контактов депутатов между собой, а также проводится обучение глав и председателей органов местного самоуправления поселений. 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proofErr w:type="gramStart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С июля 2012 года организовано и проведено 2 методических семинара,   выезд  депутатов районного Совета и администрации муниципального района на заседания представительных органов поселений (с.п.</w:t>
      </w:r>
      <w:proofErr w:type="gramEnd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«</w:t>
      </w:r>
      <w:proofErr w:type="spellStart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Домнинское</w:t>
      </w:r>
      <w:proofErr w:type="spellEnd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», г.п</w:t>
      </w:r>
      <w:proofErr w:type="gramStart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.»</w:t>
      </w:r>
      <w:proofErr w:type="spellStart"/>
      <w:proofErr w:type="gramEnd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Атамановское</w:t>
      </w:r>
      <w:proofErr w:type="spellEnd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», с.п. «</w:t>
      </w:r>
      <w:proofErr w:type="spellStart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Сивяковское</w:t>
      </w:r>
      <w:proofErr w:type="spellEnd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», с.п. «</w:t>
      </w:r>
      <w:proofErr w:type="spellStart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Колочнинское</w:t>
      </w:r>
      <w:proofErr w:type="spellEnd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»)</w:t>
      </w:r>
      <w:proofErr w:type="gramStart"/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ктивно принимали участие в работе  представительных органов поселений  Пашкина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lastRenderedPageBreak/>
        <w:t xml:space="preserve">Л.И., Холмогоров А.А., </w:t>
      </w:r>
      <w:proofErr w:type="spell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Зайдель</w:t>
      </w:r>
      <w:proofErr w:type="spell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В.В.,Суханюк</w:t>
      </w:r>
      <w:proofErr w:type="spellEnd"/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В.Н.Щербаков Р.С.</w:t>
      </w:r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. 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Традиционной формой взаимодействия стало приглашение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председателей Советов 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поселений на участие в р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аботе заседаний Совета муниципального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района и выезд депутатов районного Совета на заседания представительных органов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городских и сельских поселений(отметить активную работу председателей городских и сельских поселений</w:t>
      </w:r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Клюевой О.В., Акимова Н.Г., Черепановой В.С. Никитиной С.А., </w:t>
      </w:r>
      <w:proofErr w:type="spell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Балдоржиевой</w:t>
      </w:r>
      <w:proofErr w:type="spell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Р.Н., </w:t>
      </w:r>
      <w:proofErr w:type="spell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ШевельТ.А</w:t>
      </w:r>
      <w:proofErr w:type="spell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.,</w:t>
      </w:r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Борисова Ю.А., </w:t>
      </w:r>
      <w:proofErr w:type="spell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Зайчиковой-Бузиновой</w:t>
      </w:r>
      <w:proofErr w:type="spell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Д.А., в тоже время почти  в каждом поселении регулярность проведения сессий депутатов представительных органов и кворум присутствующих на заседаниях нужно привести в соответствие с законодательством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). 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Обучение депутатского корпуса осуществляется в различных формах в соответствии с п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ринимаемыми распоряжениями </w:t>
      </w:r>
      <w:r w:rsidRPr="00B371C4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руководителей района планами. Так, например:</w:t>
      </w:r>
    </w:p>
    <w:p w:rsidR="00833475" w:rsidRPr="00741DBB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Так, например:</w:t>
      </w:r>
    </w:p>
    <w:p w:rsidR="00833475" w:rsidRPr="00741DBB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- в августе 2012 года проведен семинар с председателями представительных органов поселений – по вопросам организации  деятельности  представительных органов муниципальных образований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и 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о формах депутатской деятельнос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ти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с проведением  практического занятия и раздаточного материала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(явка председателей Советов на первую учебу составила менее 50%, причем </w:t>
      </w:r>
      <w:proofErr w:type="gram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отсутствовали</w:t>
      </w:r>
      <w:proofErr w:type="gram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как правило те председатели Советов, к которым есть  вопросы по ведению и оформлению заседаний, планированию работы представительного органа).</w:t>
      </w:r>
    </w:p>
    <w:p w:rsidR="00833475" w:rsidRPr="00741DBB" w:rsidRDefault="00833475" w:rsidP="00833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- </w:t>
      </w:r>
      <w:proofErr w:type="gramStart"/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</w:t>
      </w:r>
      <w:proofErr w:type="gramEnd"/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октябре этого же года состоялся  семинар с главами поселений, специалистами администраций  и председателями  представительных органов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поселений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, где речь шла об организации делопроизводства  представительного органа, </w:t>
      </w:r>
      <w:r w:rsidRPr="00741DBB">
        <w:rPr>
          <w:rFonts w:ascii="Times New Roman CYR" w:eastAsia="Times New Roman" w:hAnsi="Times New Roman CYR" w:cs="Times New Roman"/>
          <w:bCs/>
          <w:kern w:val="18"/>
          <w:sz w:val="28"/>
          <w:szCs w:val="28"/>
          <w:lang w:eastAsia="ru-RU"/>
        </w:rPr>
        <w:t xml:space="preserve">актуальных вопросах приведения Уставов муниципальных образований в соответствии с действующим законодательством; нормативной деятельности органов местного самоуправления и др. На семинаре перед руководителями  органов местного </w:t>
      </w:r>
      <w:r w:rsidRPr="00741DBB">
        <w:rPr>
          <w:rFonts w:ascii="Times New Roman CYR" w:eastAsia="Times New Roman" w:hAnsi="Times New Roman CYR" w:cs="Times New Roman"/>
          <w:bCs/>
          <w:kern w:val="18"/>
          <w:sz w:val="28"/>
          <w:szCs w:val="28"/>
          <w:lang w:eastAsia="ru-RU"/>
        </w:rPr>
        <w:lastRenderedPageBreak/>
        <w:t xml:space="preserve">самоуправлений поселений  выступили представители </w:t>
      </w:r>
      <w:r>
        <w:rPr>
          <w:rFonts w:ascii="Times New Roman CYR" w:eastAsia="Times New Roman" w:hAnsi="Times New Roman CYR" w:cs="Times New Roman"/>
          <w:bCs/>
          <w:kern w:val="18"/>
          <w:sz w:val="28"/>
          <w:szCs w:val="28"/>
          <w:lang w:eastAsia="ru-RU"/>
        </w:rPr>
        <w:t>Управления</w:t>
      </w:r>
      <w:r w:rsidRPr="00741DBB">
        <w:rPr>
          <w:rFonts w:ascii="Times New Roman CYR" w:eastAsia="Times New Roman" w:hAnsi="Times New Roman CYR" w:cs="Times New Roman"/>
          <w:bCs/>
          <w:kern w:val="18"/>
          <w:sz w:val="28"/>
          <w:szCs w:val="28"/>
          <w:lang w:eastAsia="ru-RU"/>
        </w:rPr>
        <w:t xml:space="preserve"> правового взаимодействия   с органами местного самоуправления администрации Губернатора Забайкальского края,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представители У</w:t>
      </w:r>
      <w:r w:rsidRPr="00741DB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правления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Минюста по Забайкальскому краю, дирекция АСМО Забайкальского края. </w:t>
      </w:r>
    </w:p>
    <w:p w:rsidR="00833475" w:rsidRPr="00741DBB" w:rsidRDefault="00833475" w:rsidP="00833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Участники семинара-совещания для использования в работе получили  в электронном виде пакет документов по обсуждаемым вопросам, а также на бумажных носителях образцы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других муниципальных правовых актов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.</w:t>
      </w:r>
      <w:r w:rsidR="006F1A2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Данное мероприятие освещено в газете «Азия - экспресс». Участники семинара были более активны.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Часто д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епутаты Совета муниципального райо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на принимают участие в совещаниях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, которые проводит ежемесячно администрация муниципального района по различным вопросам деятельности муниципальных о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бразований поселений с главами и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председателями Советов поселений.  </w:t>
      </w:r>
    </w:p>
    <w:p w:rsidR="00833475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Так, в октябре 2012 года на семинаре  с главами поселений, председателями советов депутатов, со специалистами 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администраций 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были рассмотрены некоторые итоги работы представительных органов поселений, некоторые изменения федерального и краевого  законодательства, вопросы, связанные с организацией и ведением регистра муниципальных нормативных правовых актов, созданием Интернет-сайтов, в декабре – организации работы депутатских объединений (фракций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). </w:t>
      </w:r>
    </w:p>
    <w:p w:rsidR="00833475" w:rsidRPr="00741DBB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До сведения поселений доводятся изменения федерального и краевого законодательства в части полномочий органов местного самоупра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вления, решения Совета муниципального района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, касающиеся деятельности поселений. Все норм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ативные правовые акты опубликовываются в газете «Ингода»  (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прило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жение 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«Вестник»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)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, которые также доводятся до сведения гла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в поселений-председателей Советов.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Один экземпляр приложения обязательно размещается в библиотеке поселения. 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ab/>
        <w:t>Совет муниципального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района информирует сельские поселения о предстоящем проведении публ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ичных слушаний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и иных мероприятий, посвященных обсуждению наиболее актуальных вопросов, предоставляет 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lastRenderedPageBreak/>
        <w:t>возможность участвовать в них наиболее заинтересованным представителям муниципальных образований.</w:t>
      </w:r>
    </w:p>
    <w:p w:rsidR="00833475" w:rsidRPr="00741DBB" w:rsidRDefault="00833475" w:rsidP="008334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В целях расширения доступности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граждан к информации о деятельности органов местного самоуправления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,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Администрацией муни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ципального  района создан Сайт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 органов мест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ного </w:t>
      </w:r>
      <w:proofErr w:type="gram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самоуправления</w:t>
      </w:r>
      <w:proofErr w:type="gramEnd"/>
      <w:r w:rsidR="0051487C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на котором  создана</w:t>
      </w:r>
      <w:r w:rsidRPr="00741DBB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страница со следующей информацией:</w:t>
      </w:r>
    </w:p>
    <w:p w:rsidR="00833475" w:rsidRPr="00741DBB" w:rsidRDefault="00833475" w:rsidP="0083347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общая информация о представительном органе; информация о правотворческой деятельности представительного органа,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другими вопросам.</w:t>
      </w:r>
    </w:p>
    <w:p w:rsidR="00833475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И.О.Главы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муниципального района я представлял район, интересы его жителей во взаимодействии с органами государственной власти, органами местного самоуправления других муниципальных районов, федеральными и региональными органами, гражданами и организациями.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В этой связи неоднократно участвовал в заседаниях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Законодательного собрания Забайкальского края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заседаниях П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равительства Забайкальского края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в рамках которых проходило активное обсуждение вопросов социально-эко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номического развития как в крае в целом, так и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ального района в частности. Представители отдела по взаимодействию с Советами администрации муниципального района принимали участие во Всероссийской научно - практической конференции «Местное самоуправление и муниципальная служба в Забайкальском крае», где в частности была поставлена проблема о низкой заработной плате муниципальных служащих; в заседании Координационного совета при Управлении Министерства юстиции Российской Федерации по Забайкальскому краю, на котором была заслушана информация по вопросу «Об эффективности совершения нотариальных действий главами (должностными лицами) муниципальных образований».</w:t>
      </w:r>
    </w:p>
    <w:p w:rsidR="00833475" w:rsidRPr="00741DBB" w:rsidRDefault="00833475" w:rsidP="00833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Как и.о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лавы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муниципального района принимал участие в мероприятиях, посвящённых государственным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 профессиональным праздникам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. </w:t>
      </w:r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Кроме того, депутаты районного Совета принимают активное  </w:t>
      </w:r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lastRenderedPageBreak/>
        <w:t xml:space="preserve">участие в праздничных мероприятиях, проводимых и на территории района  («Дни села» - в поселениях, 75- </w:t>
      </w:r>
      <w:proofErr w:type="spellStart"/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летие</w:t>
      </w:r>
      <w:proofErr w:type="spellEnd"/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Читинского района, и др.) огромное спасибо нужно сказать всем, кто принимал участие в юби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лейных мероприятиях</w:t>
      </w:r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Читинского района - этот поистине большой праздник готовился всем миром и прошел на славу. Менее заметный, но самый важный день для впервые получающих паспорта граждан России,   прошел в декабре 2012 года. Под руководством администрации района, принимали активное участие в организации  мероприятия  депутат районного Совета Щербаков Р.С., Миграционная служба по Читинскому району, районный Дом кул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ьтуры (руководитель </w:t>
      </w:r>
      <w:proofErr w:type="spellStart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А.И.Рюмкин</w:t>
      </w:r>
      <w:proofErr w:type="spellEnd"/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) </w:t>
      </w:r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и очень кстати были </w:t>
      </w:r>
      <w:proofErr w:type="gramStart"/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напутствия</w:t>
      </w:r>
      <w:proofErr w:type="gramEnd"/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и памятные подарки для детей от депутата районного Совета Щербакова Р.С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.</w:t>
      </w:r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Благотворительность со стороны депутата районного Совета Р.С.Щербакова в очередной раз заслуживает уважения, кстати его желание оказать доброе, радует наших малышей и в Дни новогодних праздников – дети </w:t>
      </w:r>
      <w:r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>получают сладкие подарки не первый</w:t>
      </w:r>
      <w:r w:rsidRPr="00D45EF8">
        <w:rPr>
          <w:rFonts w:ascii="Times New Roman" w:eastAsia="Times New Roman" w:hAnsi="Times New Roman" w:cs="Times New Roman"/>
          <w:bCs/>
          <w:kern w:val="18"/>
          <w:sz w:val="28"/>
          <w:szCs w:val="28"/>
          <w:lang w:eastAsia="ru-RU"/>
        </w:rPr>
        <w:t xml:space="preserve"> новогодний праздник).</w:t>
      </w:r>
    </w:p>
    <w:p w:rsidR="00833475" w:rsidRDefault="00833475" w:rsidP="0083347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Главное достояние нашего района – это люди неординарные, деятельные, грамотные, работоспособные.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Почётными грамотами и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благода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рностями Губернатора Забайкальского края,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награждены более 30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грамотами и благодарностями Законодательного собрания 5депутатов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районногоСовета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Наши спортсмены занимают призовые  места на соревнованиях не только местного значения, но и на мероприятиях более высокого уровня. В этом заслуга самих людей, их стремление к реализации, такие люди поистине заслуживают уважения.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Приоритетом моей работы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граждан, которая ведётся по нескольким направлениям. Граждане могут обратиться ко мне на личном приёме, направить письменное обращение, посредством телефонного обращения или на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созданном новом информационном уровне –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е,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DB3295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хотя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последним </w:t>
      </w:r>
      <w:r w:rsidRPr="00DB3295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мало </w:t>
      </w:r>
      <w:r w:rsidRPr="00DB3295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кто пользуется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Одно из направлений деятельности Главы – </w:t>
      </w:r>
      <w:proofErr w:type="gramStart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контроль за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исполнением распорядительных документов. В 2012 году по сравнению с 2011 годом возрос доку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ментооборот. На все полученные служебные письма, были подготовлены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отправ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лены исходящие распорядительные документы и ответы.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Уважаемые 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депутаты!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Отчитываясь сегодня о результатах моей деятельности в должности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лавы района, я реально осознаю, что есть ещё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много нерешённых задач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Для их решения необходимо продолжать начатую работу во всех сферах жизнедеятельности района. Искренне вас благодарю за конструктивную работу и ответственный подход к решению задач, стоящих перед депутатским корпусом. Хочу отметить, что в 2012 году мы с вами старались работать как единая команда, нацеленная на один результат, на укрепление экономики и повышение качества жизни населения нашего района. В итоге мы смогли сохранить стабильную ситуацию, улучшит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ь показатели в социальной сфере, что подтверждается в утвержденном Советом муниципального района Плане социально-экономического развития муниципального района на очередной финансовый год.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Вот некоторые показатели этого документа: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районе идет жилищное строительство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Так, по итогам 2012 года введено жилья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за счет всех источников финансирования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бщей площадью более 30 тысяч (тридцати тысяч) квадратных метров, средняя обеспеченность населения жильем составляет 16,5 кв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.м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рынке труда ситуация стабильная(среднесписочная численность работников- без совместителей 10233 чел. Численность официально зарегистрированных безработных 998 чел).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Уровень регистр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ируемой безработицы составил 9,5% .Однако количество работающего населения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 xml:space="preserve">оставляет желать лучшего. В этом задача всех нас, необходимо не только трудоустраивать население, но и убеждать каждого  о самореализации, о создании малых предприятий, семейных ферм и др. </w:t>
      </w:r>
    </w:p>
    <w:p w:rsidR="00833475" w:rsidRPr="00885F58" w:rsidRDefault="00833475" w:rsidP="0083347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Одним из основных индикаторов состояния экономики района является уровень заработной платы.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Среднемесячная номинальная начисленная заработная плата по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ципальному району составила16633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рублей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онечно, хотелось бы этот показатель видеть выше.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оциальный потенциал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муниципального района ха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рактеризуется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уровнем развития таких отраслевых систем социальной сферы, как здравоохранение, образование, культура, физическая культура и спорт. 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Утверждая План, депутаты Совета муниципального района видят стоящие  задачи перед всеми ответственными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этой сфере –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снижение показателя: по недостат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мест в детских с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адах и дефициту кадров (процент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охвата детей дошко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льным образованием составляет 54,2%.),  по увеличению числа больничных коек  (на 1000 населения – 510 единиц, не один год ставится вопрос по строительству здания центральной районной больницы) хотя компетенция решения этого вопроса не</w:t>
      </w:r>
      <w:proofErr w:type="gramEnd"/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наша, но живем-то мы с вами в районе; по увеличению показателя по количеству мест в зрительных залах, книг и журналов в библиотеках (74 единицы  на 1000 чел), по организации в районе музеев, увеличении  количества детей, которые могут отдохнуть в летнем оздоровительном лагер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один летний лагерь на 450 отдыхающих за лето).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Истекает срок</w:t>
      </w:r>
      <w:r w:rsidR="0051487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полномочий Совета муниципального района нынешнего  созыва, осталось несколько месяцев  напряжённой работы по исполнению намеченных планов и стоящих задач, нацеленных на дальнейшее перспективное развитие нашего района и благо наших граждан. С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егодня мы имеем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ресурсы, средства, знания, профессионализм, чтобы сделать жизнь в районе комфортной и пр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ивлекательной. Но для этого нужно </w:t>
      </w:r>
      <w:proofErr w:type="gram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продолжать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прежде всего объединение усилий и эффективное взаимодействие администрации и депутатов Совета муниципального района, представителей общественных объединений, предприятий, предпринимателей и жителей  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 xml:space="preserve">муниципального района. </w:t>
      </w:r>
      <w:proofErr w:type="gramStart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Уверен</w:t>
      </w:r>
      <w:proofErr w:type="gramEnd"/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активном и конструктивном сотрудничестве по решению насущных проблем муниципального района. Искренне желаю, чтобы наступивший 2013 год был удачным и плодотворным! К слову, 21 апреля 2013 года органы местного самоуправления впервые будут отмечать профессиональный праздник, учрежденный указом Президента Российской Федерации.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Желаю всем крепкого здоровья, удачи и плодотворной работы на благо жителей  муниципального района!</w:t>
      </w:r>
      <w:r w:rsidRPr="00CB029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Благодарю за внимание!</w:t>
      </w:r>
    </w:p>
    <w:p w:rsidR="00833475" w:rsidRPr="00972931" w:rsidRDefault="00833475" w:rsidP="0083347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475" w:rsidRDefault="00833475" w:rsidP="00C7220F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75" w:rsidRPr="00AD7231" w:rsidRDefault="00833475" w:rsidP="00C7220F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F" w:rsidRDefault="00C7220F" w:rsidP="00C7220F"/>
    <w:p w:rsidR="001B5B32" w:rsidRDefault="001B5B32"/>
    <w:sectPr w:rsidR="001B5B32" w:rsidSect="004E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81"/>
    <w:rsid w:val="00173981"/>
    <w:rsid w:val="001B5B32"/>
    <w:rsid w:val="002A6B72"/>
    <w:rsid w:val="00370678"/>
    <w:rsid w:val="003B567E"/>
    <w:rsid w:val="004601FD"/>
    <w:rsid w:val="004E1312"/>
    <w:rsid w:val="0051487C"/>
    <w:rsid w:val="006F1A28"/>
    <w:rsid w:val="00833475"/>
    <w:rsid w:val="00C7220F"/>
    <w:rsid w:val="00D7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USER</cp:lastModifiedBy>
  <cp:revision>12</cp:revision>
  <cp:lastPrinted>2013-03-29T03:08:00Z</cp:lastPrinted>
  <dcterms:created xsi:type="dcterms:W3CDTF">2013-03-19T23:58:00Z</dcterms:created>
  <dcterms:modified xsi:type="dcterms:W3CDTF">2013-03-29T03:09:00Z</dcterms:modified>
</cp:coreProperties>
</file>