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5C" w:rsidRDefault="00D0745C" w:rsidP="00D0745C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45C" w:rsidRPr="00D0745C" w:rsidRDefault="00D0745C" w:rsidP="00D0745C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45C">
        <w:rPr>
          <w:rFonts w:ascii="Times New Roman" w:hAnsi="Times New Roman" w:cs="Times New Roman"/>
          <w:b/>
          <w:sz w:val="28"/>
          <w:szCs w:val="28"/>
        </w:rPr>
        <w:t>Кредитоспособность Забайкальского края оценило Рейтинговое агентство RAEX</w:t>
      </w:r>
    </w:p>
    <w:p w:rsidR="00D0745C" w:rsidRPr="00D0745C" w:rsidRDefault="00D0745C" w:rsidP="00D074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745C" w:rsidRPr="00D0745C" w:rsidRDefault="00D0745C" w:rsidP="00D074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45C">
        <w:rPr>
          <w:rFonts w:ascii="Times New Roman" w:hAnsi="Times New Roman" w:cs="Times New Roman"/>
          <w:sz w:val="28"/>
          <w:szCs w:val="28"/>
        </w:rPr>
        <w:t>Рейтинговое агентство «Эксперт РА» (RAEX) оценило возможности Забайкальского края и присвоило рейтинг кредитоспособности региону: по национальной шкале на уровне</w:t>
      </w:r>
      <w:proofErr w:type="gramStart"/>
      <w:r w:rsidRPr="00D0745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0745C">
        <w:rPr>
          <w:rFonts w:ascii="Times New Roman" w:hAnsi="Times New Roman" w:cs="Times New Roman"/>
          <w:sz w:val="28"/>
          <w:szCs w:val="28"/>
        </w:rPr>
        <w:t xml:space="preserve"> - «Высокий уровень кредитоспособности»,  по международной шкале на уровне В - «Удовлетворительный уровень кредитоспособности». Прогноз по рейтингам </w:t>
      </w:r>
      <w:proofErr w:type="gramStart"/>
      <w:r w:rsidRPr="00D0745C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Pr="00D0745C">
        <w:rPr>
          <w:rFonts w:ascii="Times New Roman" w:hAnsi="Times New Roman" w:cs="Times New Roman"/>
          <w:sz w:val="28"/>
          <w:szCs w:val="28"/>
        </w:rPr>
        <w:t>стабильный». Это означает высокую вероятность сохранения рейтинга на прежнем уровне в среднесрочной перспективе.</w:t>
      </w:r>
    </w:p>
    <w:p w:rsidR="00D0745C" w:rsidRPr="00D0745C" w:rsidRDefault="00D0745C" w:rsidP="00D074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45C">
        <w:rPr>
          <w:rFonts w:ascii="Times New Roman" w:hAnsi="Times New Roman" w:cs="Times New Roman"/>
          <w:sz w:val="28"/>
          <w:szCs w:val="28"/>
        </w:rPr>
        <w:t xml:space="preserve">Среди позитивных факторов эксперты отметили низкую долю расходов на обслуживание долга в </w:t>
      </w:r>
      <w:proofErr w:type="gramStart"/>
      <w:r w:rsidRPr="00D0745C">
        <w:rPr>
          <w:rFonts w:ascii="Times New Roman" w:hAnsi="Times New Roman" w:cs="Times New Roman"/>
          <w:sz w:val="28"/>
          <w:szCs w:val="28"/>
        </w:rPr>
        <w:t>расходах</w:t>
      </w:r>
      <w:proofErr w:type="gramEnd"/>
      <w:r w:rsidRPr="00D0745C">
        <w:rPr>
          <w:rFonts w:ascii="Times New Roman" w:hAnsi="Times New Roman" w:cs="Times New Roman"/>
          <w:sz w:val="28"/>
          <w:szCs w:val="28"/>
        </w:rPr>
        <w:t xml:space="preserve"> региона (1,6% за 2013 год), сокращение уровня безработицы за период с 2010 по 2013 годы на 5,4 </w:t>
      </w:r>
      <w:r>
        <w:rPr>
          <w:rFonts w:ascii="Times New Roman" w:hAnsi="Times New Roman" w:cs="Times New Roman"/>
          <w:sz w:val="28"/>
          <w:szCs w:val="28"/>
        </w:rPr>
        <w:t xml:space="preserve">процентных </w:t>
      </w:r>
      <w:r w:rsidRPr="00D0745C">
        <w:rPr>
          <w:rFonts w:ascii="Times New Roman" w:hAnsi="Times New Roman" w:cs="Times New Roman"/>
          <w:sz w:val="28"/>
          <w:szCs w:val="28"/>
        </w:rPr>
        <w:t>пункта, а также низкие валютные риски. Позитивное влияние на рейтинг оказали сбалансированная структура расходов и высокая диверсификация экономики региона.</w:t>
      </w:r>
    </w:p>
    <w:p w:rsidR="00D0745C" w:rsidRPr="00D0745C" w:rsidRDefault="00D0745C" w:rsidP="00D074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745C" w:rsidRPr="00D0745C" w:rsidRDefault="00D0745C" w:rsidP="00D074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45C">
        <w:rPr>
          <w:rFonts w:ascii="Times New Roman" w:hAnsi="Times New Roman" w:cs="Times New Roman"/>
          <w:sz w:val="28"/>
          <w:szCs w:val="28"/>
        </w:rPr>
        <w:t xml:space="preserve">«Забайкальский край обладает хорошей структурой межбюджетных трансфертов. За 2013 год на долю дотаций пришлось 58,8% трансфертов, 23,8% – на </w:t>
      </w:r>
      <w:bookmarkStart w:id="0" w:name="_GoBack"/>
      <w:bookmarkEnd w:id="0"/>
      <w:r w:rsidRPr="00D0745C">
        <w:rPr>
          <w:rFonts w:ascii="Times New Roman" w:hAnsi="Times New Roman" w:cs="Times New Roman"/>
          <w:sz w:val="28"/>
          <w:szCs w:val="28"/>
        </w:rPr>
        <w:t>субсидии, 12% – на субвенции. Это увеличивает возможности субъекта для использования полученных средств из федерального бюджета и делает расходную часть бюджета региона более гибкой. Хорошая диверсификация структуры трансфертов оказывает позитивное влияние на кредитоспособность региона», - отмечает директор по корпоративным рейтингам «Эксперт РА» (RAEX) Павел Митрофанов.</w:t>
      </w:r>
    </w:p>
    <w:p w:rsidR="00D0745C" w:rsidRPr="00D0745C" w:rsidRDefault="00D0745C" w:rsidP="00D074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745C" w:rsidRPr="00D0745C" w:rsidRDefault="00D0745C" w:rsidP="00D074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745C">
        <w:rPr>
          <w:rFonts w:ascii="Times New Roman" w:hAnsi="Times New Roman" w:cs="Times New Roman"/>
          <w:sz w:val="28"/>
          <w:szCs w:val="28"/>
        </w:rPr>
        <w:t>Среди факторов, сдерживающих уровень рейтинговой оценки, были выделены высокий уровень отношения долга к собственным доходам (на 1 января 2014 года отношение долга к доходам за вычетом безвозмездных поступлений составило 68,4% при медиане 44,1%), низкий уровень инвестиционного климата региона (по итогам 2013 года рейтинг инвестиционной привлекательности от «Эксперт РА»: пониженный потенциал – высокий риск, Забайкалье занимает 72 место среди регионов по уровню</w:t>
      </w:r>
      <w:proofErr w:type="gramEnd"/>
      <w:r w:rsidRPr="00D0745C">
        <w:rPr>
          <w:rFonts w:ascii="Times New Roman" w:hAnsi="Times New Roman" w:cs="Times New Roman"/>
          <w:sz w:val="28"/>
          <w:szCs w:val="28"/>
        </w:rPr>
        <w:t xml:space="preserve"> риска, 51 место по уровню потенциала), умеренно высокий уровень размера дефицита бюджета - по итогам 2013 года дефицит бюджета региона составил 11,4% от объема доходов бюджета при медиане 9%, и низкая диверсификация долговой нагрузки.</w:t>
      </w:r>
    </w:p>
    <w:p w:rsidR="00D0745C" w:rsidRPr="00D0745C" w:rsidRDefault="00D0745C" w:rsidP="00D074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745C" w:rsidRPr="00D0745C" w:rsidRDefault="00D0745C" w:rsidP="00D074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45C">
        <w:rPr>
          <w:rFonts w:ascii="Times New Roman" w:hAnsi="Times New Roman" w:cs="Times New Roman"/>
          <w:sz w:val="28"/>
          <w:szCs w:val="28"/>
        </w:rPr>
        <w:t>По оценке Забайкальского края, в 2013 году ВРП (валовый региональный продукт) региона достиг 241,7 миллиарда рублей, ВРП на душу населения – 221,7 тысячи рублей.</w:t>
      </w:r>
    </w:p>
    <w:sectPr w:rsidR="00D0745C" w:rsidRPr="00D07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5C"/>
    <w:rsid w:val="00214287"/>
    <w:rsid w:val="00633377"/>
    <w:rsid w:val="0068624F"/>
    <w:rsid w:val="00777000"/>
    <w:rsid w:val="009B7EE9"/>
    <w:rsid w:val="00A144F9"/>
    <w:rsid w:val="00AA0CD7"/>
    <w:rsid w:val="00B50020"/>
    <w:rsid w:val="00D0745C"/>
    <w:rsid w:val="00D1642D"/>
    <w:rsid w:val="00F6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D0745C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D0745C"/>
    <w:rPr>
      <w:rFonts w:ascii="Calibri" w:hAnsi="Calibri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68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D0745C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D0745C"/>
    <w:rPr>
      <w:rFonts w:ascii="Calibri" w:hAnsi="Calibri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68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</dc:creator>
  <cp:lastModifiedBy>18</cp:lastModifiedBy>
  <cp:revision>3</cp:revision>
  <cp:lastPrinted>2014-09-24T06:39:00Z</cp:lastPrinted>
  <dcterms:created xsi:type="dcterms:W3CDTF">2014-09-24T06:32:00Z</dcterms:created>
  <dcterms:modified xsi:type="dcterms:W3CDTF">2014-09-24T06:43:00Z</dcterms:modified>
</cp:coreProperties>
</file>