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D56A8" w:rsidRPr="00C34A1C" w:rsidRDefault="0037108E" w:rsidP="002D56A8">
      <w:pPr>
        <w:pStyle w:val="ae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Что необходимо знать перед строительством дома</w:t>
      </w:r>
      <w:bookmarkStart w:id="0" w:name="_GoBack"/>
      <w:bookmarkEnd w:id="0"/>
    </w:p>
    <w:p w:rsidR="009C3AD9" w:rsidRPr="006B278B" w:rsidRDefault="00F36413" w:rsidP="006B278B">
      <w:pPr>
        <w:pStyle w:val="ae"/>
        <w:ind w:firstLine="567"/>
        <w:jc w:val="both"/>
        <w:rPr>
          <w:rFonts w:ascii="Segoe UI" w:hAnsi="Segoe UI" w:cs="Segoe UI"/>
          <w:i/>
        </w:rPr>
      </w:pPr>
      <w:r w:rsidRPr="006B278B">
        <w:rPr>
          <w:rStyle w:val="ad"/>
          <w:rFonts w:ascii="Segoe UI" w:hAnsi="Segoe UI" w:cs="Segoe UI"/>
          <w:b w:val="0"/>
          <w:i/>
        </w:rPr>
        <w:t xml:space="preserve">Специалисты </w:t>
      </w:r>
      <w:r w:rsidR="008B7BEE" w:rsidRPr="006B278B">
        <w:rPr>
          <w:rStyle w:val="ad"/>
          <w:rFonts w:ascii="Segoe UI" w:hAnsi="Segoe UI" w:cs="Segoe UI"/>
          <w:b w:val="0"/>
          <w:i/>
        </w:rPr>
        <w:t>У</w:t>
      </w:r>
      <w:r w:rsidR="00FF02CF" w:rsidRPr="006B278B">
        <w:rPr>
          <w:rStyle w:val="ad"/>
          <w:rFonts w:ascii="Segoe UI" w:hAnsi="Segoe UI" w:cs="Segoe UI"/>
          <w:b w:val="0"/>
          <w:i/>
        </w:rPr>
        <w:t xml:space="preserve">правления </w:t>
      </w:r>
      <w:proofErr w:type="spellStart"/>
      <w:r w:rsidR="00FF02CF" w:rsidRPr="006B278B">
        <w:rPr>
          <w:rStyle w:val="ad"/>
          <w:rFonts w:ascii="Segoe UI" w:hAnsi="Segoe UI" w:cs="Segoe UI"/>
          <w:b w:val="0"/>
          <w:i/>
        </w:rPr>
        <w:t>Росреестра</w:t>
      </w:r>
      <w:proofErr w:type="spellEnd"/>
      <w:r w:rsidR="00FF02CF" w:rsidRPr="006B278B">
        <w:rPr>
          <w:rStyle w:val="ad"/>
          <w:rFonts w:ascii="Segoe UI" w:hAnsi="Segoe UI" w:cs="Segoe UI"/>
          <w:b w:val="0"/>
          <w:i/>
        </w:rPr>
        <w:t xml:space="preserve"> по Забайкальскому краю </w:t>
      </w:r>
      <w:r w:rsidR="00415F46" w:rsidRPr="006B278B">
        <w:rPr>
          <w:rStyle w:val="ad"/>
          <w:rFonts w:ascii="Segoe UI" w:hAnsi="Segoe UI" w:cs="Segoe UI"/>
          <w:b w:val="0"/>
          <w:i/>
        </w:rPr>
        <w:t>информиру</w:t>
      </w:r>
      <w:r w:rsidRPr="006B278B">
        <w:rPr>
          <w:rStyle w:val="ad"/>
          <w:rFonts w:ascii="Segoe UI" w:hAnsi="Segoe UI" w:cs="Segoe UI"/>
          <w:b w:val="0"/>
          <w:i/>
        </w:rPr>
        <w:t>ю</w:t>
      </w:r>
      <w:r w:rsidR="00415F46" w:rsidRPr="006B278B">
        <w:rPr>
          <w:rStyle w:val="ad"/>
          <w:rFonts w:ascii="Segoe UI" w:hAnsi="Segoe UI" w:cs="Segoe UI"/>
          <w:b w:val="0"/>
          <w:i/>
        </w:rPr>
        <w:t>т</w:t>
      </w:r>
      <w:r w:rsidR="006B278B" w:rsidRPr="006B278B">
        <w:rPr>
          <w:rStyle w:val="ad"/>
          <w:rFonts w:ascii="Segoe UI" w:hAnsi="Segoe UI" w:cs="Segoe UI"/>
          <w:b w:val="0"/>
          <w:i/>
        </w:rPr>
        <w:t xml:space="preserve">, что </w:t>
      </w:r>
      <w:r w:rsidR="002D56A8" w:rsidRPr="002D56A8">
        <w:rPr>
          <w:rFonts w:ascii="Segoe UI" w:hAnsi="Segoe UI" w:cs="Segoe UI"/>
          <w:i/>
        </w:rPr>
        <w:t>согласно Гражданскому кодексу здание, построенное без учета требований законодательства, является самовольной постройкой и подлежит сносу. Для того</w:t>
      </w:r>
      <w:proofErr w:type="gramStart"/>
      <w:r w:rsidR="002D56A8" w:rsidRPr="002D56A8">
        <w:rPr>
          <w:rFonts w:ascii="Segoe UI" w:hAnsi="Segoe UI" w:cs="Segoe UI"/>
          <w:i/>
        </w:rPr>
        <w:t>,</w:t>
      </w:r>
      <w:proofErr w:type="gramEnd"/>
      <w:r w:rsidR="002D56A8" w:rsidRPr="002D56A8">
        <w:rPr>
          <w:rFonts w:ascii="Segoe UI" w:hAnsi="Segoe UI" w:cs="Segoe UI"/>
          <w:i/>
        </w:rPr>
        <w:t xml:space="preserve"> чтобы построенный дом не стал самовольной постройкой, важно обратить внимание на следующие рекомендации.</w:t>
      </w:r>
    </w:p>
    <w:p w:rsidR="009C3AD9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 xml:space="preserve">Во-первых, прежде чем начать строить жилой дом нужно убедиться, что его строительство возможно на определенном земельном участке. Для этого необходимо обратить внимание на две характеристики земельного участка, содержащиеся в Едином государственном реестре недвижимости (ЕГРН): категорию земель и вид разрешенного использования земельного участка. </w:t>
      </w:r>
    </w:p>
    <w:p w:rsidR="009C3AD9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Если земельный участок имеет категорию земель "земли населенных пунктов" и вид разрешенного использования "для индивидуального жилищного строительства", "для ведения личного подсобного хозяйства", на таком земельном участке может быть возведен индивидуальный жилой дом. Вид разрешенного использования "малоэтажная многоквартирная жилая застройка", "</w:t>
      </w:r>
      <w:proofErr w:type="spellStart"/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среднеэтажная</w:t>
      </w:r>
      <w:proofErr w:type="spellEnd"/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 xml:space="preserve"> жилая застройка", "многоэтажная жилая застройка (высотная застройка)", "блокированная жилая застройка" позволит построить на земельном участке многоквартирный дом соответствующего размера или блокированный жилой дом.</w:t>
      </w:r>
    </w:p>
    <w:p w:rsidR="009C3AD9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Вместе с тем, если земельный участок имеет вид разрешенного использования "ведение личного подсобного хозяйства" и относится к землям сельскохозяйственного назначения, возведение объектов капитального строительства на таком участке будет противоречить установленным законом нормам.</w:t>
      </w:r>
    </w:p>
    <w:p w:rsidR="009C3AD9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Также индивидуальный жилой дом или многоквартирный дом невозможно построить на земельных участках, предоставленных для ведения сельскохозяйственной деятельности, садоводства, огородничества.</w:t>
      </w:r>
    </w:p>
    <w:p w:rsidR="002D56A8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Во-вторых, строительство жилого дома должно производиться в соответствии с градостроительными и строительными нормами и правилами на основании разрешения на строительство, выданного в органе местного самоуправления по месту нахождения земельного участка.</w:t>
      </w:r>
    </w:p>
    <w:p w:rsidR="002D56A8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 xml:space="preserve">Строительство многоквартирного дома завершается получением разрешения на ввод объекта в эксплуатацию, которое подтверждает соответствие готового объекта установленным законом нормам. Обязательным приложением к такому разрешению является технический план, подготовленный на основании проектной документации. </w:t>
      </w: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Разрешение на ввод объекта в эксплуатацию и технический план представляется в орган регистрации прав для постановки на государственный учет многоквартирного дома и квартир в нем.</w:t>
      </w:r>
    </w:p>
    <w:p w:rsidR="002D56A8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Для осуществления государственного учета индивидуального жилого дома, расположенного на земельном участке, предназначенном для такого строительства, необходимо представление в орган регистрации прав технического плана, подготовленного на основании разрешения на строительство и проектной документации, либо декларации, составленной правообладателем земельного участка, если проектная документация не изготавливалась. Получение разрешения на ввод индивидуального жилого дома в эксплуатацию не требуется до 2020 года.</w:t>
      </w:r>
    </w:p>
    <w:p w:rsidR="002D56A8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В-третьих, необходимо обратить внимание, чтобы построенный жилой дом располагался строго на отведенном земельном участке.</w:t>
      </w:r>
    </w:p>
    <w:p w:rsidR="002D56A8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Согласно действующему законодательству нельзя строить индивидуальный жилой или многоквартирный дома на земельных участках, которые не представлялись гражданам или юридическим лицам, осуществляющим строительство. </w:t>
      </w:r>
      <w:proofErr w:type="gramStart"/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Земельные участки, в границах которых должен быть построен объект недвижимости, указываются в разрешении на строительство, для получения которого предоставляются документы, подтверждающие права на земельные участки, на которых планируется проводить строительство.</w:t>
      </w:r>
      <w:proofErr w:type="gramEnd"/>
    </w:p>
    <w:p w:rsidR="002D56A8" w:rsidRPr="006B278B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>Если в ходе строительства застройщиком принято решение об изменении параметров объекта, в том числе индивидуального жилого дома, требуется внесение изменений в ранее полученное разрешение на строительство. Несоответствие построенного многоквартирного, блокированного дома требованиям, установленным в разрешении на строительство, является основанием для отказа в предоставлении разрешения на ввод в эксплуатацию объекта недвижимости.</w:t>
      </w:r>
    </w:p>
    <w:p w:rsidR="002D56A8" w:rsidRPr="002D56A8" w:rsidRDefault="002D56A8" w:rsidP="002D56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D56A8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строительство дома за границами отведенного участка может стать причиной того, что построенное здание будет отнесено к самовольным постройкам. Права на такой объект зарегистрировать невозможно. </w:t>
      </w:r>
    </w:p>
    <w:p w:rsidR="001F3E85" w:rsidRPr="004831EA" w:rsidRDefault="001F3E85" w:rsidP="002D56A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5A84" w:rsidRDefault="00535A84" w:rsidP="004831EA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535A8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58" w:rsidRDefault="00C56E58" w:rsidP="003577E5">
      <w:pPr>
        <w:spacing w:after="0" w:line="240" w:lineRule="auto"/>
      </w:pPr>
      <w:r>
        <w:separator/>
      </w:r>
    </w:p>
  </w:endnote>
  <w:endnote w:type="continuationSeparator" w:id="0">
    <w:p w:rsidR="00C56E58" w:rsidRDefault="00C56E5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7108E" w:rsidRPr="0037108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58" w:rsidRDefault="00C56E58" w:rsidP="003577E5">
      <w:pPr>
        <w:spacing w:after="0" w:line="240" w:lineRule="auto"/>
      </w:pPr>
      <w:r>
        <w:separator/>
      </w:r>
    </w:p>
  </w:footnote>
  <w:footnote w:type="continuationSeparator" w:id="0">
    <w:p w:rsidR="00C56E58" w:rsidRDefault="00C56E5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130FA68" wp14:editId="1F031A0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126"/>
    <w:rsid w:val="00004A95"/>
    <w:rsid w:val="000107B8"/>
    <w:rsid w:val="00020C33"/>
    <w:rsid w:val="00026254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2263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B6220"/>
    <w:rsid w:val="000C14BD"/>
    <w:rsid w:val="000C5C1C"/>
    <w:rsid w:val="000C77AE"/>
    <w:rsid w:val="000D0012"/>
    <w:rsid w:val="000D3B64"/>
    <w:rsid w:val="000D606D"/>
    <w:rsid w:val="000D6C7E"/>
    <w:rsid w:val="000F11A6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3E85"/>
    <w:rsid w:val="001F4A87"/>
    <w:rsid w:val="00200500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22CF"/>
    <w:rsid w:val="00293711"/>
    <w:rsid w:val="002A2D3C"/>
    <w:rsid w:val="002A339E"/>
    <w:rsid w:val="002A3866"/>
    <w:rsid w:val="002A67A1"/>
    <w:rsid w:val="002B21D6"/>
    <w:rsid w:val="002B2775"/>
    <w:rsid w:val="002C0CCC"/>
    <w:rsid w:val="002C7051"/>
    <w:rsid w:val="002D169D"/>
    <w:rsid w:val="002D1E2F"/>
    <w:rsid w:val="002D56A8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2784B"/>
    <w:rsid w:val="00334755"/>
    <w:rsid w:val="00334C24"/>
    <w:rsid w:val="00340BAE"/>
    <w:rsid w:val="003438BD"/>
    <w:rsid w:val="0034392E"/>
    <w:rsid w:val="00350357"/>
    <w:rsid w:val="003509AD"/>
    <w:rsid w:val="00351EEB"/>
    <w:rsid w:val="00353A4D"/>
    <w:rsid w:val="00355F1C"/>
    <w:rsid w:val="003577E5"/>
    <w:rsid w:val="00357EE4"/>
    <w:rsid w:val="00360B1A"/>
    <w:rsid w:val="00363518"/>
    <w:rsid w:val="003637C5"/>
    <w:rsid w:val="0037108E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407026"/>
    <w:rsid w:val="004113B7"/>
    <w:rsid w:val="00413877"/>
    <w:rsid w:val="004157D7"/>
    <w:rsid w:val="00415F46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BA2"/>
    <w:rsid w:val="004831EA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0A70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6C73"/>
    <w:rsid w:val="00511D0D"/>
    <w:rsid w:val="00525702"/>
    <w:rsid w:val="00530331"/>
    <w:rsid w:val="00531A1E"/>
    <w:rsid w:val="00531AEE"/>
    <w:rsid w:val="00535A84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3555"/>
    <w:rsid w:val="00683B40"/>
    <w:rsid w:val="006877F5"/>
    <w:rsid w:val="00691D50"/>
    <w:rsid w:val="00694B22"/>
    <w:rsid w:val="00695D9E"/>
    <w:rsid w:val="006A3FD4"/>
    <w:rsid w:val="006A4741"/>
    <w:rsid w:val="006B278B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6F4FE2"/>
    <w:rsid w:val="00704DF5"/>
    <w:rsid w:val="00707148"/>
    <w:rsid w:val="00712FFD"/>
    <w:rsid w:val="0071511B"/>
    <w:rsid w:val="007176BD"/>
    <w:rsid w:val="007201A1"/>
    <w:rsid w:val="0072124A"/>
    <w:rsid w:val="00721CAB"/>
    <w:rsid w:val="00726464"/>
    <w:rsid w:val="00727064"/>
    <w:rsid w:val="00727CDD"/>
    <w:rsid w:val="00733E3D"/>
    <w:rsid w:val="00740439"/>
    <w:rsid w:val="00747208"/>
    <w:rsid w:val="00756B4A"/>
    <w:rsid w:val="00760C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0FBA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59C6"/>
    <w:rsid w:val="008A1F9E"/>
    <w:rsid w:val="008A68B0"/>
    <w:rsid w:val="008B4A25"/>
    <w:rsid w:val="008B4E30"/>
    <w:rsid w:val="008B6EA3"/>
    <w:rsid w:val="008B7BEE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5982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C3AD9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47A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26B0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4A1C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6E58"/>
    <w:rsid w:val="00C57B74"/>
    <w:rsid w:val="00C60461"/>
    <w:rsid w:val="00C60E82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377F"/>
    <w:rsid w:val="00D05E54"/>
    <w:rsid w:val="00D13DCA"/>
    <w:rsid w:val="00D147D8"/>
    <w:rsid w:val="00D26A0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4200"/>
    <w:rsid w:val="00E250B0"/>
    <w:rsid w:val="00E34F89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F3295"/>
    <w:rsid w:val="00EF4F38"/>
    <w:rsid w:val="00EF6A7E"/>
    <w:rsid w:val="00F00FBF"/>
    <w:rsid w:val="00F03A6B"/>
    <w:rsid w:val="00F0507A"/>
    <w:rsid w:val="00F056DC"/>
    <w:rsid w:val="00F1062E"/>
    <w:rsid w:val="00F153FE"/>
    <w:rsid w:val="00F20EE6"/>
    <w:rsid w:val="00F23D14"/>
    <w:rsid w:val="00F26F3E"/>
    <w:rsid w:val="00F276D7"/>
    <w:rsid w:val="00F36413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A11"/>
    <w:rsid w:val="00FB22C5"/>
    <w:rsid w:val="00FB2926"/>
    <w:rsid w:val="00FB2DFA"/>
    <w:rsid w:val="00FC17BC"/>
    <w:rsid w:val="00FC3E7F"/>
    <w:rsid w:val="00FC4066"/>
    <w:rsid w:val="00FC619D"/>
    <w:rsid w:val="00FE0226"/>
    <w:rsid w:val="00FE320E"/>
    <w:rsid w:val="00FE67BC"/>
    <w:rsid w:val="00FE7164"/>
    <w:rsid w:val="00FF02CF"/>
    <w:rsid w:val="00FF268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4935-71DB-483A-B25F-D787AD5E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289</cp:revision>
  <cp:lastPrinted>2018-04-26T04:43:00Z</cp:lastPrinted>
  <dcterms:created xsi:type="dcterms:W3CDTF">2015-10-26T06:42:00Z</dcterms:created>
  <dcterms:modified xsi:type="dcterms:W3CDTF">2018-05-03T05:31:00Z</dcterms:modified>
</cp:coreProperties>
</file>