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B" w:rsidRPr="00FF64F4" w:rsidRDefault="00147045" w:rsidP="0064424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733415" cy="8138795"/>
            <wp:effectExtent l="19050" t="0" r="635" b="0"/>
            <wp:docPr id="1" name="Рисунок 0" descr="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42" w:rsidRPr="00FF64F4" w:rsidRDefault="00644242" w:rsidP="00644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242" w:rsidRPr="00FF64F4" w:rsidRDefault="00644242" w:rsidP="00644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C9C" w:rsidRPr="00FF64F4" w:rsidRDefault="00693C9C">
      <w:pPr>
        <w:rPr>
          <w:rFonts w:ascii="Times New Roman" w:hAnsi="Times New Roman" w:cs="Times New Roman"/>
          <w:sz w:val="28"/>
          <w:szCs w:val="28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06189C" w:rsidRDefault="0006189C" w:rsidP="0006189C">
      <w:pPr>
        <w:rPr>
          <w:rFonts w:ascii="Times New Roman" w:hAnsi="Times New Roman" w:cs="Times New Roman"/>
        </w:rPr>
      </w:pPr>
    </w:p>
    <w:p w:rsidR="005B6686" w:rsidRPr="0006189C" w:rsidRDefault="0006189C" w:rsidP="0006189C">
      <w:pPr>
        <w:jc w:val="right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128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02788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27881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78758B" w:rsidRPr="0006189C" w:rsidRDefault="005B6686" w:rsidP="005B6686">
      <w:pPr>
        <w:jc w:val="right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 Администрации СП «Харагунское»</w:t>
      </w:r>
    </w:p>
    <w:p w:rsidR="0078758B" w:rsidRPr="0006189C" w:rsidRDefault="00980E16" w:rsidP="005B6686">
      <w:pPr>
        <w:jc w:val="right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17.01.2017 года </w:t>
      </w:r>
      <w:r w:rsidR="005B6686" w:rsidRP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06189C">
        <w:rPr>
          <w:rFonts w:ascii="Times New Roman" w:hAnsi="Times New Roman" w:cs="Times New Roman"/>
          <w:sz w:val="28"/>
          <w:szCs w:val="28"/>
        </w:rPr>
        <w:t>№</w:t>
      </w:r>
      <w:r w:rsidR="005B6686" w:rsidRPr="0006189C">
        <w:rPr>
          <w:rFonts w:ascii="Times New Roman" w:hAnsi="Times New Roman" w:cs="Times New Roman"/>
          <w:sz w:val="28"/>
          <w:szCs w:val="28"/>
        </w:rPr>
        <w:t xml:space="preserve"> </w:t>
      </w:r>
      <w:r w:rsidR="00027881">
        <w:rPr>
          <w:rFonts w:ascii="Times New Roman" w:hAnsi="Times New Roman" w:cs="Times New Roman"/>
          <w:sz w:val="28"/>
          <w:szCs w:val="28"/>
        </w:rPr>
        <w:t>61</w:t>
      </w:r>
    </w:p>
    <w:p w:rsidR="00693C9C" w:rsidRPr="0006189C" w:rsidRDefault="00693C9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78758B" w:rsidRPr="0006189C" w:rsidRDefault="00980E16" w:rsidP="005B66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89C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78758B" w:rsidRPr="0006189C" w:rsidRDefault="00980E16" w:rsidP="005B6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9C">
        <w:rPr>
          <w:rFonts w:ascii="Times New Roman" w:hAnsi="Times New Roman" w:cs="Times New Roman"/>
          <w:b/>
          <w:sz w:val="28"/>
          <w:szCs w:val="28"/>
        </w:rPr>
        <w:t xml:space="preserve">санкционирования оплаты денежных обязательств получателей средств, бюджета </w:t>
      </w:r>
      <w:r w:rsidR="005B6686" w:rsidRPr="000618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«Харагунское» </w:t>
      </w:r>
      <w:r w:rsidRPr="0006189C">
        <w:rPr>
          <w:rFonts w:ascii="Times New Roman" w:hAnsi="Times New Roman" w:cs="Times New Roman"/>
          <w:b/>
          <w:sz w:val="28"/>
          <w:szCs w:val="28"/>
        </w:rPr>
        <w:t xml:space="preserve">и администраторов </w:t>
      </w:r>
      <w:proofErr w:type="gramStart"/>
      <w:r w:rsidRPr="0006189C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06189C">
        <w:rPr>
          <w:rFonts w:ascii="Times New Roman" w:hAnsi="Times New Roman" w:cs="Times New Roman"/>
          <w:b/>
          <w:sz w:val="28"/>
          <w:szCs w:val="28"/>
        </w:rPr>
        <w:t>сточников</w:t>
      </w:r>
      <w:r w:rsidRP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06189C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</w:t>
      </w:r>
      <w:r w:rsidR="005B6686" w:rsidRPr="0006189C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5B6686" w:rsidRPr="0006189C" w:rsidRDefault="005B6686">
      <w:pPr>
        <w:tabs>
          <w:tab w:val="left" w:pos="1169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78758B" w:rsidRPr="0006189C" w:rsidRDefault="005B6686">
      <w:pPr>
        <w:tabs>
          <w:tab w:val="left" w:pos="116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1.</w:t>
      </w:r>
      <w:r w:rsidR="002E0AE2" w:rsidRPr="00061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</w:t>
      </w:r>
      <w:r w:rsidRPr="0006189C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980E16" w:rsidRPr="0006189C">
        <w:rPr>
          <w:rFonts w:ascii="Times New Roman" w:hAnsi="Times New Roman" w:cs="Times New Roman"/>
          <w:sz w:val="28"/>
          <w:szCs w:val="28"/>
        </w:rPr>
        <w:t>(далее - бюджета) денежных обязательств пол</w:t>
      </w:r>
      <w:r w:rsidR="002E0AE2" w:rsidRPr="0006189C">
        <w:rPr>
          <w:rFonts w:ascii="Times New Roman" w:hAnsi="Times New Roman" w:cs="Times New Roman"/>
          <w:sz w:val="28"/>
          <w:szCs w:val="28"/>
        </w:rPr>
        <w:t xml:space="preserve">учателей средств бюджета сельского поселения «Харагунское»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 w:rsidR="002E0AE2" w:rsidRPr="000618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 </w:t>
      </w:r>
      <w:r w:rsidR="002E0AE2" w:rsidRPr="0006189C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980E16" w:rsidRPr="0006189C">
        <w:rPr>
          <w:rFonts w:ascii="Times New Roman" w:hAnsi="Times New Roman" w:cs="Times New Roman"/>
          <w:sz w:val="28"/>
          <w:szCs w:val="28"/>
        </w:rPr>
        <w:t>лицевые счета которых открыты в УФК по Забайкальскому краю,</w:t>
      </w:r>
      <w:proofErr w:type="gramEnd"/>
    </w:p>
    <w:p w:rsidR="0078758B" w:rsidRPr="0006189C" w:rsidRDefault="002E0AE2">
      <w:pPr>
        <w:tabs>
          <w:tab w:val="left" w:pos="106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2. 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</w:t>
      </w:r>
      <w:r w:rsidRPr="0006189C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«Харагунское»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</w:t>
      </w:r>
      <w:r w:rsidR="00EB1CF2" w:rsidRPr="0006189C">
        <w:rPr>
          <w:rFonts w:ascii="Times New Roman" w:hAnsi="Times New Roman" w:cs="Times New Roman"/>
          <w:sz w:val="28"/>
          <w:szCs w:val="28"/>
        </w:rPr>
        <w:t xml:space="preserve">  доводятся Администрацией сельского поселения «Харагунское» </w:t>
      </w:r>
      <w:r w:rsidR="00980E16" w:rsidRPr="0006189C">
        <w:rPr>
          <w:rFonts w:ascii="Times New Roman" w:hAnsi="Times New Roman" w:cs="Times New Roman"/>
          <w:sz w:val="28"/>
          <w:szCs w:val="28"/>
        </w:rPr>
        <w:t>до УФК по Забайкальскому краю.</w:t>
      </w:r>
    </w:p>
    <w:p w:rsidR="0078758B" w:rsidRPr="0006189C" w:rsidRDefault="00E171F5">
      <w:pPr>
        <w:tabs>
          <w:tab w:val="left" w:pos="111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B1CF2" w:rsidRPr="00061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 w:rsidR="00EB1CF2" w:rsidRPr="0006189C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980E16" w:rsidRPr="0006189C">
        <w:rPr>
          <w:rFonts w:ascii="Times New Roman" w:hAnsi="Times New Roman" w:cs="Times New Roman"/>
          <w:sz w:val="28"/>
          <w:szCs w:val="28"/>
        </w:rPr>
        <w:t>(далее - получатели средств бюджета), администраторы источников ф</w:t>
      </w:r>
      <w:r w:rsidR="00EB1CF2" w:rsidRPr="0006189C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сельского поселения «Харагунское» 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(далее - администраторы источников финансирования дефицита бюджета) представляют в УФК по Забайкальскому краю по месту их обслуживания </w:t>
      </w:r>
      <w:r w:rsidRPr="0006189C">
        <w:rPr>
          <w:rFonts w:ascii="Times New Roman" w:hAnsi="Times New Roman" w:cs="Times New Roman"/>
          <w:sz w:val="28"/>
          <w:szCs w:val="28"/>
        </w:rPr>
        <w:t xml:space="preserve"> </w:t>
      </w:r>
      <w:r w:rsidR="00980E16" w:rsidRPr="0006189C">
        <w:rPr>
          <w:rFonts w:ascii="Times New Roman" w:hAnsi="Times New Roman" w:cs="Times New Roman"/>
          <w:sz w:val="28"/>
          <w:szCs w:val="28"/>
        </w:rPr>
        <w:t>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наличных денег (код формы по КФД 0531802), Заявку на получение денежных средств,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перечисляемых на карту (код формы по КФД 0531243), Сводную заявку на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>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-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бюджета),</w:t>
      </w:r>
    </w:p>
    <w:p w:rsidR="0078758B" w:rsidRPr="0006189C" w:rsidRDefault="00E171F5" w:rsidP="00E171F5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 4.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УФК</w:t>
      </w:r>
      <w:proofErr w:type="gram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но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</w:t>
      </w:r>
      <w:r w:rsidRPr="0006189C">
        <w:rPr>
          <w:rFonts w:ascii="Times New Roman" w:hAnsi="Times New Roman" w:cs="Times New Roman"/>
          <w:sz w:val="28"/>
          <w:szCs w:val="28"/>
        </w:rPr>
        <w:t xml:space="preserve">ктами 11,12,1,14 </w:t>
      </w:r>
      <w:r w:rsidR="00980E16" w:rsidRPr="0006189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8758B" w:rsidRPr="0006189C" w:rsidRDefault="00E171F5">
      <w:pPr>
        <w:tabs>
          <w:tab w:val="left" w:pos="116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78758B" w:rsidRPr="0006189C" w:rsidRDefault="00E171F5">
      <w:pPr>
        <w:tabs>
          <w:tab w:val="left" w:pos="116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6. </w:t>
      </w:r>
      <w:r w:rsidR="00980E16" w:rsidRPr="0006189C">
        <w:rPr>
          <w:rFonts w:ascii="Times New Roman" w:hAnsi="Times New Roman" w:cs="Times New Roman"/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78758B" w:rsidRPr="0006189C" w:rsidRDefault="00980E16">
      <w:pPr>
        <w:tabs>
          <w:tab w:val="left" w:pos="115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1)</w:t>
      </w:r>
      <w:r w:rsidRPr="0006189C">
        <w:rPr>
          <w:rFonts w:ascii="Times New Roman" w:hAnsi="Times New Roman" w:cs="Times New Roman"/>
          <w:sz w:val="28"/>
          <w:szCs w:val="28"/>
        </w:rPr>
        <w:tab/>
        <w:t xml:space="preserve">наименование участника бюджетного процесса в соответствии с Перечнем участников бюджетного процесса, представленным в УФК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Забайкальскому краю </w:t>
      </w:r>
      <w:r w:rsidR="00E171F5" w:rsidRPr="0006189C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«Харагунское» </w:t>
      </w:r>
      <w:r w:rsidRPr="0006189C"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</w:p>
    <w:p w:rsidR="0078758B" w:rsidRPr="0006189C" w:rsidRDefault="00980E16">
      <w:pPr>
        <w:tabs>
          <w:tab w:val="left" w:pos="109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2)</w:t>
      </w:r>
      <w:r w:rsidRPr="0006189C">
        <w:rPr>
          <w:rFonts w:ascii="Times New Roman" w:hAnsi="Times New Roman" w:cs="Times New Roman"/>
          <w:sz w:val="28"/>
          <w:szCs w:val="28"/>
        </w:rPr>
        <w:tab/>
        <w:t xml:space="preserve">кодов классификации расходов бюджета (классификации источников финансирования дефицита бюджета), по которым необходимо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>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78758B" w:rsidRPr="0006189C" w:rsidRDefault="00980E16">
      <w:pPr>
        <w:tabs>
          <w:tab w:val="left" w:pos="1170"/>
        </w:tabs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6189C">
        <w:rPr>
          <w:rFonts w:ascii="Times New Roman" w:hAnsi="Times New Roman" w:cs="Times New Roman"/>
          <w:sz w:val="28"/>
          <w:szCs w:val="28"/>
        </w:rPr>
        <w:t>3)</w:t>
      </w:r>
      <w:r w:rsidRPr="0006189C">
        <w:rPr>
          <w:rFonts w:ascii="Times New Roman" w:hAnsi="Times New Roman" w:cs="Times New Roman"/>
          <w:sz w:val="28"/>
          <w:szCs w:val="28"/>
        </w:rPr>
        <w:tab/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78758B" w:rsidRPr="0006189C" w:rsidRDefault="00980E16">
      <w:pPr>
        <w:tabs>
          <w:tab w:val="left" w:pos="109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4)</w:t>
      </w:r>
      <w:r w:rsidRPr="0006189C">
        <w:rPr>
          <w:rFonts w:ascii="Times New Roman" w:hAnsi="Times New Roman" w:cs="Times New Roman"/>
          <w:sz w:val="28"/>
          <w:szCs w:val="28"/>
        </w:rPr>
        <w:tab/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78758B" w:rsidRPr="0006189C" w:rsidRDefault="00980E16">
      <w:pPr>
        <w:tabs>
          <w:tab w:val="left" w:pos="1023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5)</w:t>
      </w:r>
      <w:r w:rsidRPr="0006189C">
        <w:rPr>
          <w:rFonts w:ascii="Times New Roman" w:hAnsi="Times New Roman" w:cs="Times New Roman"/>
          <w:sz w:val="28"/>
          <w:szCs w:val="28"/>
        </w:rPr>
        <w:tab/>
        <w:t>вида средств (средства бюджета);</w:t>
      </w:r>
    </w:p>
    <w:p w:rsidR="0078758B" w:rsidRPr="0006189C" w:rsidRDefault="00980E16">
      <w:pPr>
        <w:tabs>
          <w:tab w:val="left" w:pos="107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6)</w:t>
      </w:r>
      <w:r w:rsidRPr="0006189C">
        <w:rPr>
          <w:rFonts w:ascii="Times New Roman" w:hAnsi="Times New Roman" w:cs="Times New Roman"/>
          <w:sz w:val="28"/>
          <w:szCs w:val="28"/>
        </w:rPr>
        <w:tab/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78758B" w:rsidRPr="0006189C" w:rsidRDefault="00980E16">
      <w:pPr>
        <w:tabs>
          <w:tab w:val="left" w:pos="114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7)</w:t>
      </w:r>
      <w:r w:rsidRPr="0006189C">
        <w:rPr>
          <w:rFonts w:ascii="Times New Roman" w:hAnsi="Times New Roman" w:cs="Times New Roman"/>
          <w:sz w:val="28"/>
          <w:szCs w:val="28"/>
        </w:rPr>
        <w:tab/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78758B" w:rsidRPr="0006189C" w:rsidRDefault="00980E16">
      <w:pPr>
        <w:tabs>
          <w:tab w:val="left" w:pos="114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8)</w:t>
      </w:r>
      <w:r w:rsidRPr="0006189C">
        <w:rPr>
          <w:rFonts w:ascii="Times New Roman" w:hAnsi="Times New Roman" w:cs="Times New Roman"/>
          <w:sz w:val="28"/>
          <w:szCs w:val="28"/>
        </w:rPr>
        <w:tab/>
        <w:t>номера и серии чека (при наличном способе оплаты денежного обязательства);</w:t>
      </w:r>
    </w:p>
    <w:p w:rsidR="0078758B" w:rsidRPr="0006189C" w:rsidRDefault="00980E16">
      <w:pPr>
        <w:tabs>
          <w:tab w:val="left" w:pos="116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9)</w:t>
      </w:r>
      <w:r w:rsidRPr="0006189C">
        <w:rPr>
          <w:rFonts w:ascii="Times New Roman" w:hAnsi="Times New Roman" w:cs="Times New Roman"/>
          <w:sz w:val="28"/>
          <w:szCs w:val="28"/>
        </w:rPr>
        <w:tab/>
        <w:t>срока действия чека (при наличном способе оплаты денежного обязательства);</w:t>
      </w:r>
    </w:p>
    <w:p w:rsidR="0078758B" w:rsidRPr="0006189C" w:rsidRDefault="00980E16">
      <w:pPr>
        <w:tabs>
          <w:tab w:val="left" w:pos="124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10)</w:t>
      </w:r>
      <w:r w:rsidRPr="0006189C">
        <w:rPr>
          <w:rFonts w:ascii="Times New Roman" w:hAnsi="Times New Roman" w:cs="Times New Roman"/>
          <w:sz w:val="28"/>
          <w:szCs w:val="28"/>
        </w:rPr>
        <w:tab/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78758B" w:rsidRPr="0006189C" w:rsidRDefault="00980E16">
      <w:pPr>
        <w:tabs>
          <w:tab w:val="left" w:pos="119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11)</w:t>
      </w:r>
      <w:r w:rsidRPr="0006189C">
        <w:rPr>
          <w:rFonts w:ascii="Times New Roman" w:hAnsi="Times New Roman" w:cs="Times New Roman"/>
          <w:sz w:val="28"/>
          <w:szCs w:val="28"/>
        </w:rPr>
        <w:tab/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78758B" w:rsidRPr="0006189C" w:rsidRDefault="00980E16">
      <w:pPr>
        <w:tabs>
          <w:tab w:val="left" w:pos="13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12)</w:t>
      </w:r>
      <w:r w:rsidRPr="0006189C">
        <w:rPr>
          <w:rFonts w:ascii="Times New Roman" w:hAnsi="Times New Roman" w:cs="Times New Roman"/>
          <w:sz w:val="28"/>
          <w:szCs w:val="28"/>
        </w:rPr>
        <w:tab/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8758B" w:rsidRPr="0006189C" w:rsidRDefault="00980E16">
      <w:pPr>
        <w:tabs>
          <w:tab w:val="left" w:pos="123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13)</w:t>
      </w:r>
      <w:r w:rsidRPr="0006189C">
        <w:rPr>
          <w:rFonts w:ascii="Times New Roman" w:hAnsi="Times New Roman" w:cs="Times New Roman"/>
          <w:sz w:val="28"/>
          <w:szCs w:val="28"/>
        </w:rPr>
        <w:tab/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78758B" w:rsidRPr="0006189C" w:rsidRDefault="00980E16">
      <w:pPr>
        <w:tabs>
          <w:tab w:val="left" w:pos="138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14)</w:t>
      </w:r>
      <w:r w:rsidRPr="0006189C">
        <w:rPr>
          <w:rFonts w:ascii="Times New Roman" w:hAnsi="Times New Roman" w:cs="Times New Roman"/>
          <w:sz w:val="28"/>
          <w:szCs w:val="28"/>
        </w:rPr>
        <w:tab/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>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78758B" w:rsidRPr="0006189C" w:rsidRDefault="00980E16">
      <w:pPr>
        <w:tabs>
          <w:tab w:val="left" w:pos="123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15)</w:t>
      </w:r>
      <w:r w:rsidRPr="0006189C">
        <w:rPr>
          <w:rFonts w:ascii="Times New Roman" w:hAnsi="Times New Roman" w:cs="Times New Roman"/>
          <w:sz w:val="28"/>
          <w:szCs w:val="28"/>
        </w:rPr>
        <w:tab/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 — фактура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или акт выполненных работ (оказанных услуг), или счет, или форма КС-3,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:rsidR="0078758B" w:rsidRPr="0006189C" w:rsidRDefault="00980E16">
      <w:pPr>
        <w:tabs>
          <w:tab w:val="left" w:pos="111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7.</w:t>
      </w:r>
      <w:r w:rsidRPr="0006189C">
        <w:rPr>
          <w:rFonts w:ascii="Times New Roman" w:hAnsi="Times New Roman" w:cs="Times New Roman"/>
          <w:sz w:val="28"/>
          <w:szCs w:val="28"/>
        </w:rPr>
        <w:tab/>
        <w:t>Требования подпунктов 13,14 пункта 6 настоящего Порядка не применяются в отношении: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Заявки на получение наличных денег (код формы по КФД 0531802);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законодательство!'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.'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 13 пункта 6 настоящего Порядка не применяются.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>:</w:t>
      </w:r>
    </w:p>
    <w:p w:rsidR="0078758B" w:rsidRPr="0006189C" w:rsidRDefault="00980E16">
      <w:pPr>
        <w:tabs>
          <w:tab w:val="left" w:pos="103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-</w:t>
      </w:r>
      <w:r w:rsidRPr="000618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78758B" w:rsidRPr="0006189C" w:rsidRDefault="00980E16">
      <w:pPr>
        <w:tabs>
          <w:tab w:val="left" w:pos="93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-</w:t>
      </w:r>
      <w:r w:rsidRPr="0006189C">
        <w:rPr>
          <w:rFonts w:ascii="Times New Roman" w:hAnsi="Times New Roman" w:cs="Times New Roman"/>
          <w:sz w:val="28"/>
          <w:szCs w:val="28"/>
        </w:rPr>
        <w:tab/>
        <w:t>оплате по договору аренды;</w:t>
      </w:r>
    </w:p>
    <w:p w:rsidR="0078758B" w:rsidRPr="0006189C" w:rsidRDefault="00980E16">
      <w:pPr>
        <w:tabs>
          <w:tab w:val="left" w:pos="94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-</w:t>
      </w:r>
      <w:r w:rsidRPr="0006189C">
        <w:rPr>
          <w:rFonts w:ascii="Times New Roman" w:hAnsi="Times New Roman" w:cs="Times New Roman"/>
          <w:sz w:val="28"/>
          <w:szCs w:val="28"/>
        </w:rPr>
        <w:tab/>
        <w:t xml:space="preserve">оплате услуг по пересылке пособий, компенсаций и иных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выплат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но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78758B" w:rsidRPr="0006189C" w:rsidRDefault="00980E16" w:rsidP="00027881">
      <w:pPr>
        <w:tabs>
          <w:tab w:val="left" w:pos="126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8.</w:t>
      </w:r>
      <w:r w:rsidRPr="0006189C">
        <w:rPr>
          <w:rFonts w:ascii="Times New Roman" w:hAnsi="Times New Roman" w:cs="Times New Roman"/>
          <w:sz w:val="28"/>
          <w:szCs w:val="28"/>
        </w:rPr>
        <w:tab/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78758B" w:rsidRPr="0006189C" w:rsidRDefault="00027881">
      <w:pPr>
        <w:tabs>
          <w:tab w:val="left" w:pos="1464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0E16" w:rsidRPr="0006189C">
        <w:rPr>
          <w:rFonts w:ascii="Times New Roman" w:hAnsi="Times New Roman" w:cs="Times New Roman"/>
          <w:sz w:val="28"/>
          <w:szCs w:val="28"/>
        </w:rPr>
        <w:t>.</w:t>
      </w:r>
      <w:r w:rsidR="00980E16" w:rsidRPr="000618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78758B" w:rsidRPr="0006189C" w:rsidRDefault="00027881">
      <w:pPr>
        <w:tabs>
          <w:tab w:val="left" w:pos="120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0E16" w:rsidRPr="0006189C">
        <w:rPr>
          <w:rFonts w:ascii="Times New Roman" w:hAnsi="Times New Roman" w:cs="Times New Roman"/>
          <w:sz w:val="28"/>
          <w:szCs w:val="28"/>
        </w:rPr>
        <w:t>.</w:t>
      </w:r>
      <w:r w:rsidR="00980E16" w:rsidRPr="0006189C">
        <w:rPr>
          <w:rFonts w:ascii="Times New Roman" w:hAnsi="Times New Roman" w:cs="Times New Roman"/>
          <w:sz w:val="28"/>
          <w:szCs w:val="28"/>
        </w:rPr>
        <w:tab/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8758B" w:rsidRPr="0006189C" w:rsidRDefault="00980E16">
      <w:pPr>
        <w:tabs>
          <w:tab w:val="left" w:pos="109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1)</w:t>
      </w:r>
      <w:r w:rsidRPr="0006189C">
        <w:rPr>
          <w:rFonts w:ascii="Times New Roman" w:hAnsi="Times New Roman" w:cs="Times New Roman"/>
          <w:sz w:val="28"/>
          <w:szCs w:val="28"/>
        </w:rPr>
        <w:tab/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8758B" w:rsidRPr="0006189C" w:rsidRDefault="00980E16">
      <w:pPr>
        <w:tabs>
          <w:tab w:val="left" w:pos="130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2)</w:t>
      </w:r>
      <w:r w:rsidRPr="0006189C">
        <w:rPr>
          <w:rFonts w:ascii="Times New Roman" w:hAnsi="Times New Roman" w:cs="Times New Roman"/>
          <w:sz w:val="28"/>
          <w:szCs w:val="28"/>
        </w:rPr>
        <w:tab/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8758B" w:rsidRPr="0006189C" w:rsidRDefault="00980E16">
      <w:pPr>
        <w:tabs>
          <w:tab w:val="left" w:pos="1142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3)</w:t>
      </w:r>
      <w:r w:rsidRPr="00061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78758B" w:rsidRPr="0006189C" w:rsidRDefault="00980E16">
      <w:pPr>
        <w:tabs>
          <w:tab w:val="left" w:pos="119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4)</w:t>
      </w:r>
      <w:r w:rsidRPr="0006189C">
        <w:rPr>
          <w:rFonts w:ascii="Times New Roman" w:hAnsi="Times New Roman" w:cs="Times New Roman"/>
          <w:sz w:val="28"/>
          <w:szCs w:val="28"/>
        </w:rPr>
        <w:tab/>
        <w:t xml:space="preserve">соответствие наименования, ИНН, КПП, банковских реквизитов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>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78758B" w:rsidRPr="0006189C" w:rsidRDefault="00980E16">
      <w:pPr>
        <w:tabs>
          <w:tab w:val="left" w:pos="93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5)</w:t>
      </w:r>
      <w:r w:rsidRPr="0006189C">
        <w:rPr>
          <w:rFonts w:ascii="Times New Roman" w:hAnsi="Times New Roman" w:cs="Times New Roman"/>
          <w:sz w:val="28"/>
          <w:szCs w:val="28"/>
        </w:rPr>
        <w:tab/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78758B" w:rsidRPr="0006189C" w:rsidRDefault="0078758B">
      <w:pPr>
        <w:rPr>
          <w:rFonts w:ascii="Times New Roman" w:hAnsi="Times New Roman" w:cs="Times New Roman"/>
          <w:sz w:val="28"/>
          <w:szCs w:val="28"/>
        </w:rPr>
      </w:pPr>
    </w:p>
    <w:p w:rsidR="0078758B" w:rsidRPr="0006189C" w:rsidRDefault="00E171F5" w:rsidP="00FF64F4">
      <w:pPr>
        <w:tabs>
          <w:tab w:val="left" w:pos="852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11.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</w:t>
      </w:r>
      <w:r w:rsidR="00FF64F4" w:rsidRPr="0006189C">
        <w:rPr>
          <w:rFonts w:ascii="Times New Roman" w:hAnsi="Times New Roman" w:cs="Times New Roman"/>
          <w:sz w:val="28"/>
          <w:szCs w:val="28"/>
        </w:rPr>
        <w:t>заработной платы за вторую полов</w:t>
      </w:r>
      <w:r w:rsidR="00980E16" w:rsidRPr="0006189C">
        <w:rPr>
          <w:rFonts w:ascii="Times New Roman" w:hAnsi="Times New Roman" w:cs="Times New Roman"/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лиц,</w:t>
      </w:r>
    </w:p>
    <w:p w:rsidR="0078758B" w:rsidRPr="0006189C" w:rsidRDefault="00FF64F4">
      <w:pPr>
        <w:tabs>
          <w:tab w:val="left" w:pos="761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12. </w:t>
      </w:r>
      <w:r w:rsidR="00980E16" w:rsidRPr="0006189C">
        <w:rPr>
          <w:rFonts w:ascii="Times New Roman" w:hAnsi="Times New Roman" w:cs="Times New Roman"/>
          <w:sz w:val="28"/>
          <w:szCs w:val="28"/>
        </w:rPr>
        <w:t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, реквизитам и показателям бюджетного обязательства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>:</w:t>
      </w:r>
    </w:p>
    <w:p w:rsidR="0078758B" w:rsidRPr="0006189C" w:rsidRDefault="00980E16">
      <w:pPr>
        <w:tabs>
          <w:tab w:val="left" w:pos="785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1)</w:t>
      </w:r>
      <w:r w:rsidRPr="0006189C">
        <w:rPr>
          <w:rFonts w:ascii="Times New Roman" w:hAnsi="Times New Roman" w:cs="Times New Roman"/>
          <w:sz w:val="28"/>
          <w:szCs w:val="28"/>
        </w:rPr>
        <w:tab/>
        <w:t>идентичность кода (кодов) классификации расходов бюджета по бюджетному обязательству и платежу;</w:t>
      </w:r>
    </w:p>
    <w:p w:rsidR="0078758B" w:rsidRPr="0006189C" w:rsidRDefault="00980E16">
      <w:pPr>
        <w:tabs>
          <w:tab w:val="left" w:pos="689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2)</w:t>
      </w:r>
      <w:r w:rsidRPr="0006189C">
        <w:rPr>
          <w:rFonts w:ascii="Times New Roman" w:hAnsi="Times New Roman" w:cs="Times New Roman"/>
          <w:sz w:val="28"/>
          <w:szCs w:val="28"/>
        </w:rPr>
        <w:tab/>
        <w:t>соответствие предмета бюджетного обязательства и содержания текста назначения платежа;</w:t>
      </w:r>
    </w:p>
    <w:p w:rsidR="0078758B" w:rsidRPr="0006189C" w:rsidRDefault="00980E16">
      <w:pPr>
        <w:tabs>
          <w:tab w:val="left" w:pos="636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3)</w:t>
      </w:r>
      <w:r w:rsidRPr="0006189C">
        <w:rPr>
          <w:rFonts w:ascii="Times New Roman" w:hAnsi="Times New Roman" w:cs="Times New Roman"/>
          <w:sz w:val="28"/>
          <w:szCs w:val="28"/>
        </w:rPr>
        <w:tab/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78758B" w:rsidRPr="0006189C" w:rsidRDefault="00980E16">
      <w:p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4)</w:t>
      </w:r>
      <w:r w:rsidRPr="00061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78758B" w:rsidRPr="0006189C" w:rsidRDefault="00980E16">
      <w:pPr>
        <w:tabs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5)</w:t>
      </w:r>
      <w:r w:rsidRPr="0006189C">
        <w:rPr>
          <w:rFonts w:ascii="Times New Roman" w:hAnsi="Times New Roman" w:cs="Times New Roman"/>
          <w:sz w:val="28"/>
          <w:szCs w:val="28"/>
        </w:rPr>
        <w:tab/>
        <w:t>соответствия кода классификации расходов и кода объекта ФАИП по бюджетному обязательству и платежу (при наличии);</w:t>
      </w:r>
    </w:p>
    <w:p w:rsidR="0078758B" w:rsidRPr="0006189C" w:rsidRDefault="00980E16">
      <w:pPr>
        <w:tabs>
          <w:tab w:val="left" w:pos="790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6)</w:t>
      </w:r>
      <w:r w:rsidRPr="0006189C">
        <w:rPr>
          <w:rFonts w:ascii="Times New Roman" w:hAnsi="Times New Roman" w:cs="Times New Roman"/>
          <w:sz w:val="28"/>
          <w:szCs w:val="28"/>
        </w:rPr>
        <w:tab/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78758B" w:rsidRPr="0006189C" w:rsidRDefault="00980E16">
      <w:pPr>
        <w:tabs>
          <w:tab w:val="left" w:pos="718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7)</w:t>
      </w:r>
      <w:r w:rsidRPr="00061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78758B" w:rsidRPr="0006189C" w:rsidRDefault="00980E16">
      <w:pPr>
        <w:tabs>
          <w:tab w:val="left" w:pos="833"/>
        </w:tabs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8)</w:t>
      </w:r>
      <w:r w:rsidRPr="0006189C">
        <w:rPr>
          <w:rFonts w:ascii="Times New Roman" w:hAnsi="Times New Roman" w:cs="Times New Roman"/>
          <w:sz w:val="28"/>
          <w:szCs w:val="28"/>
        </w:rPr>
        <w:tab/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средств,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78758B" w:rsidRPr="0006189C" w:rsidRDefault="00980E16">
      <w:pPr>
        <w:tabs>
          <w:tab w:val="left" w:pos="69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9)</w:t>
      </w:r>
      <w:r w:rsidRPr="00061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указанного в Заявке на кассовый расход авансового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>платежа над предельным размером авансового платежа, установленного пост</w:t>
      </w:r>
      <w:r w:rsidR="00FF64F4" w:rsidRPr="0006189C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«Харагунское»</w:t>
      </w:r>
      <w:proofErr w:type="gramStart"/>
      <w:r w:rsidR="00FF64F4" w:rsidRPr="0006189C">
        <w:rPr>
          <w:rFonts w:ascii="Times New Roman" w:hAnsi="Times New Roman" w:cs="Times New Roman"/>
          <w:sz w:val="28"/>
          <w:szCs w:val="28"/>
        </w:rPr>
        <w:t xml:space="preserve"> </w:t>
      </w:r>
      <w:r w:rsidRPr="000618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189C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 w:rsidR="00FF64F4" w:rsidRPr="0006189C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Pr="0006189C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r w:rsidR="00FF64F4" w:rsidRPr="0006189C">
        <w:rPr>
          <w:rFonts w:ascii="Times New Roman" w:hAnsi="Times New Roman" w:cs="Times New Roman"/>
          <w:sz w:val="28"/>
          <w:szCs w:val="28"/>
        </w:rPr>
        <w:t xml:space="preserve">Главы сельского поселения «Харагунское» </w:t>
      </w:r>
      <w:r w:rsidRPr="0006189C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Порядок учета бюджетных обязательств).</w:t>
      </w:r>
      <w:proofErr w:type="gramEnd"/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</w:p>
    <w:p w:rsidR="0078758B" w:rsidRPr="0006189C" w:rsidRDefault="0078758B">
      <w:pPr>
        <w:rPr>
          <w:rFonts w:ascii="Times New Roman" w:hAnsi="Times New Roman" w:cs="Times New Roman"/>
          <w:sz w:val="28"/>
          <w:szCs w:val="28"/>
        </w:rPr>
      </w:pPr>
    </w:p>
    <w:p w:rsidR="0006189C" w:rsidRDefault="0006189C">
      <w:pPr>
        <w:tabs>
          <w:tab w:val="left" w:pos="132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06189C" w:rsidRDefault="0006189C">
      <w:pPr>
        <w:tabs>
          <w:tab w:val="left" w:pos="132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78758B" w:rsidRPr="0006189C" w:rsidRDefault="00027881">
      <w:pPr>
        <w:tabs>
          <w:tab w:val="left" w:pos="132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F64F4" w:rsidRPr="0006189C">
        <w:rPr>
          <w:rFonts w:ascii="Times New Roman" w:hAnsi="Times New Roman" w:cs="Times New Roman"/>
          <w:sz w:val="28"/>
          <w:szCs w:val="28"/>
        </w:rPr>
        <w:t xml:space="preserve">.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</w:t>
      </w:r>
      <w:r w:rsidR="00FF64F4" w:rsidRPr="0006189C">
        <w:rPr>
          <w:rFonts w:ascii="Times New Roman" w:hAnsi="Times New Roman" w:cs="Times New Roman"/>
          <w:sz w:val="28"/>
          <w:szCs w:val="28"/>
        </w:rPr>
        <w:t xml:space="preserve">з содержания текста назначения 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78758B" w:rsidRPr="0006189C" w:rsidRDefault="00027881">
      <w:pPr>
        <w:tabs>
          <w:tab w:val="left" w:pos="108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F64F4" w:rsidRPr="0006189C">
        <w:rPr>
          <w:rFonts w:ascii="Times New Roman" w:hAnsi="Times New Roman" w:cs="Times New Roman"/>
          <w:sz w:val="28"/>
          <w:szCs w:val="28"/>
        </w:rPr>
        <w:t>.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8758B" w:rsidRPr="0006189C" w:rsidRDefault="00FF64F4">
      <w:pPr>
        <w:tabs>
          <w:tab w:val="left" w:pos="121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1) </w:t>
      </w:r>
      <w:r w:rsidR="00980E16" w:rsidRPr="0006189C">
        <w:rPr>
          <w:rFonts w:ascii="Times New Roman" w:hAnsi="Times New Roman" w:cs="Times New Roman"/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8758B" w:rsidRPr="0006189C" w:rsidRDefault="00FF64F4">
      <w:pPr>
        <w:tabs>
          <w:tab w:val="left" w:pos="144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80E16" w:rsidRPr="000618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неиспользованных бюджетных ассигнований и предельных объемов</w:t>
      </w:r>
    </w:p>
    <w:p w:rsidR="0078758B" w:rsidRPr="0006189C" w:rsidRDefault="00980E16">
      <w:pPr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финансирования, учтенных на лицевом счете получателя бюджетных средств.</w:t>
      </w:r>
    </w:p>
    <w:p w:rsidR="0078758B" w:rsidRPr="0006189C" w:rsidRDefault="0002788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0E16" w:rsidRPr="0006189C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выплатам по источникам финансирования дефицита бюджета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осуществляется проверка Заявки по следующим направлениям: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 xml:space="preserve">1) коды классификации источников финансирования дефицита бюджета, указанные в Заявке, должны соответствовать кодам бюджетной </w:t>
      </w:r>
      <w:r w:rsidRPr="0006189C">
        <w:rPr>
          <w:rFonts w:ascii="Times New Roman" w:hAnsi="Times New Roman" w:cs="Times New Roman"/>
          <w:sz w:val="28"/>
          <w:szCs w:val="28"/>
        </w:rPr>
        <w:lastRenderedPageBreak/>
        <w:t>классификации Российской Федерации, действующим в текущем финансовом году на момент представления Заявки;</w:t>
      </w:r>
    </w:p>
    <w:p w:rsidR="0078758B" w:rsidRPr="0006189C" w:rsidRDefault="00980E16">
      <w:pPr>
        <w:tabs>
          <w:tab w:val="left" w:pos="64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2)</w:t>
      </w:r>
      <w:r w:rsidRPr="00061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189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6189C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06189C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06189C">
        <w:rPr>
          <w:rFonts w:ascii="Times New Roman" w:hAnsi="Times New Roman" w:cs="Times New Roman"/>
          <w:sz w:val="28"/>
          <w:szCs w:val="28"/>
        </w:rPr>
        <w:t>.</w:t>
      </w:r>
    </w:p>
    <w:p w:rsidR="0078758B" w:rsidRPr="0006189C" w:rsidRDefault="0002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пунктами 5,6,11,12,12,1, 13,14, насто</w:t>
      </w:r>
      <w:r w:rsidR="00FF64F4" w:rsidRPr="0006189C">
        <w:rPr>
          <w:rFonts w:ascii="Times New Roman" w:hAnsi="Times New Roman" w:cs="Times New Roman"/>
          <w:sz w:val="28"/>
          <w:szCs w:val="28"/>
        </w:rPr>
        <w:t>я</w:t>
      </w:r>
      <w:r w:rsidR="00980E16" w:rsidRPr="0006189C">
        <w:rPr>
          <w:rFonts w:ascii="Times New Roman" w:hAnsi="Times New Roman" w:cs="Times New Roman"/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980E16" w:rsidRPr="0006189C">
        <w:rPr>
          <w:rFonts w:ascii="Times New Roman" w:hAnsi="Times New Roman" w:cs="Times New Roman"/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78758B" w:rsidRPr="0006189C" w:rsidRDefault="00980E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189C">
        <w:rPr>
          <w:rFonts w:ascii="Times New Roman" w:hAnsi="Times New Roman" w:cs="Times New Roman"/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78758B" w:rsidRPr="0006189C" w:rsidRDefault="0002788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80E16" w:rsidRPr="000618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E16" w:rsidRPr="0006189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соответствий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</w:t>
      </w:r>
      <w:r w:rsidR="00980E16" w:rsidRPr="00A15C7F">
        <w:rPr>
          <w:rFonts w:ascii="Times New Roman" w:hAnsi="Times New Roman" w:cs="Times New Roman"/>
        </w:rPr>
        <w:t xml:space="preserve"> </w:t>
      </w:r>
      <w:r w:rsidR="00980E16" w:rsidRPr="0006189C">
        <w:rPr>
          <w:rFonts w:ascii="Times New Roman" w:hAnsi="Times New Roman" w:cs="Times New Roman"/>
          <w:sz w:val="28"/>
          <w:szCs w:val="28"/>
        </w:rPr>
        <w:t>принимается к исполнению.</w:t>
      </w:r>
      <w:proofErr w:type="gramEnd"/>
    </w:p>
    <w:sectPr w:rsidR="0078758B" w:rsidRPr="0006189C" w:rsidSect="0078758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7E" w:rsidRDefault="006D567E" w:rsidP="0078758B">
      <w:r>
        <w:separator/>
      </w:r>
    </w:p>
  </w:endnote>
  <w:endnote w:type="continuationSeparator" w:id="1">
    <w:p w:rsidR="006D567E" w:rsidRDefault="006D567E" w:rsidP="0078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7E" w:rsidRDefault="006D567E"/>
  </w:footnote>
  <w:footnote w:type="continuationSeparator" w:id="1">
    <w:p w:rsidR="006D567E" w:rsidRDefault="006D56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758B"/>
    <w:rsid w:val="00027881"/>
    <w:rsid w:val="00043A1F"/>
    <w:rsid w:val="0006189C"/>
    <w:rsid w:val="00147045"/>
    <w:rsid w:val="00247022"/>
    <w:rsid w:val="002E0AE2"/>
    <w:rsid w:val="004A6588"/>
    <w:rsid w:val="00546D26"/>
    <w:rsid w:val="00572262"/>
    <w:rsid w:val="005B6686"/>
    <w:rsid w:val="00644242"/>
    <w:rsid w:val="00693C9C"/>
    <w:rsid w:val="006D567E"/>
    <w:rsid w:val="0076019A"/>
    <w:rsid w:val="0078758B"/>
    <w:rsid w:val="00894D6A"/>
    <w:rsid w:val="009206B3"/>
    <w:rsid w:val="00980E16"/>
    <w:rsid w:val="00A15C7F"/>
    <w:rsid w:val="00AF0F16"/>
    <w:rsid w:val="00B246B6"/>
    <w:rsid w:val="00C12845"/>
    <w:rsid w:val="00CF470E"/>
    <w:rsid w:val="00E171F5"/>
    <w:rsid w:val="00E2494D"/>
    <w:rsid w:val="00EB1CF2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5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8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2019-03-15T03:41:00Z</cp:lastPrinted>
  <dcterms:created xsi:type="dcterms:W3CDTF">2019-03-18T07:58:00Z</dcterms:created>
  <dcterms:modified xsi:type="dcterms:W3CDTF">2019-03-18T07:57:00Z</dcterms:modified>
</cp:coreProperties>
</file>