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60" w:rsidRPr="00E10360" w:rsidRDefault="00E10360" w:rsidP="00E10360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 w:rsidRPr="00E10360">
        <w:rPr>
          <w:rFonts w:ascii="Arial" w:eastAsia="Times New Roman" w:hAnsi="Arial" w:cs="Arial"/>
          <w:color w:val="333333"/>
          <w:kern w:val="36"/>
          <w:sz w:val="38"/>
          <w:szCs w:val="38"/>
        </w:rPr>
        <w:t>Вы выбрали ЕНВД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Специальный налоговый режим, в рамках которого при исчислении и уплате налога, налогоплательщики руководствуются размером вмененного им дохода, который установлен НК РФ.</w:t>
      </w:r>
    </w:p>
    <w:p w:rsidR="00E10360" w:rsidRPr="00E10360" w:rsidRDefault="00E10360" w:rsidP="00E10360">
      <w:pPr>
        <w:numPr>
          <w:ilvl w:val="0"/>
          <w:numId w:val="1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</w:rPr>
        <w:t> </w:t>
      </w:r>
      <w:r w:rsidRPr="00E10360">
        <w:rPr>
          <w:rFonts w:ascii="Arial" w:eastAsia="Times New Roman" w:hAnsi="Arial" w:cs="Arial"/>
          <w:color w:val="333333"/>
          <w:sz w:val="19"/>
          <w:szCs w:val="19"/>
        </w:rPr>
        <w:t>В отличие от УСН, ЕНВД является обязательным налоговым режимом: организация или ИП обязаны на него перейти, если органом местного самоуправления принят соответствующий нормативный правовой акт, обязывающий применять ЕНВД для определенных видов деятельности</w:t>
      </w:r>
    </w:p>
    <w:p w:rsidR="00E10360" w:rsidRPr="00E10360" w:rsidRDefault="00E10360" w:rsidP="00E1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Следует охарактеризовать основные преимущества и особенности данного налогового режима.</w:t>
      </w:r>
    </w:p>
    <w:p w:rsidR="00E10360" w:rsidRPr="00E10360" w:rsidRDefault="00E10360" w:rsidP="00E10360">
      <w:pPr>
        <w:shd w:val="clear" w:color="auto" w:fill="FFFFFF"/>
        <w:spacing w:before="272" w:after="136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E10360">
        <w:rPr>
          <w:rFonts w:ascii="Arial" w:eastAsia="Times New Roman" w:hAnsi="Arial" w:cs="Arial"/>
          <w:color w:val="333333"/>
          <w:sz w:val="27"/>
          <w:szCs w:val="27"/>
        </w:rPr>
        <w:t>Преимущества:</w:t>
      </w:r>
    </w:p>
    <w:p w:rsidR="00E10360" w:rsidRPr="00E10360" w:rsidRDefault="00E10360" w:rsidP="00E10360">
      <w:pPr>
        <w:numPr>
          <w:ilvl w:val="0"/>
          <w:numId w:val="2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низкая ставка налога;</w:t>
      </w:r>
    </w:p>
    <w:p w:rsidR="00E10360" w:rsidRPr="00E10360" w:rsidRDefault="00E10360" w:rsidP="00E10360">
      <w:pPr>
        <w:numPr>
          <w:ilvl w:val="0"/>
          <w:numId w:val="2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простой и прозрачный налоговый учет;</w:t>
      </w:r>
    </w:p>
    <w:p w:rsidR="00E10360" w:rsidRPr="00E10360" w:rsidRDefault="00E10360" w:rsidP="00E10360">
      <w:pPr>
        <w:numPr>
          <w:ilvl w:val="0"/>
          <w:numId w:val="2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легкое планирование сумм налога.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Основным преимуществом, которое дает данный режим, является освобождение от уплаты ряда налогов: налога на прибыль организаций, налога на имущество организаций. Индивидуальные предприниматели, соответственно, освобождаются от обязанности по уплате налога на доходы физических лиц, налога на имущество физических лиц. Кроме того, организации и ИП, применяющие ЕНВД, не являются плательщиками НДС.</w:t>
      </w:r>
    </w:p>
    <w:p w:rsidR="00E10360" w:rsidRPr="00E10360" w:rsidRDefault="00E10360" w:rsidP="00E10360">
      <w:pPr>
        <w:shd w:val="clear" w:color="auto" w:fill="FFFFFF"/>
        <w:spacing w:before="272" w:after="136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E10360">
        <w:rPr>
          <w:rFonts w:ascii="Arial" w:eastAsia="Times New Roman" w:hAnsi="Arial" w:cs="Arial"/>
          <w:color w:val="333333"/>
          <w:sz w:val="27"/>
          <w:szCs w:val="27"/>
        </w:rPr>
        <w:t>Особенности:</w:t>
      </w:r>
    </w:p>
    <w:p w:rsidR="00E10360" w:rsidRPr="00E10360" w:rsidRDefault="00E10360" w:rsidP="00E10360">
      <w:pPr>
        <w:numPr>
          <w:ilvl w:val="0"/>
          <w:numId w:val="3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организации, в связи с применением ЕНВД, не освобождаются от ведения бухгалтерского учета. Никаких исключений и привилегий для них не предусмотрено, как например, для плательщиков УСН.</w:t>
      </w:r>
    </w:p>
    <w:p w:rsidR="00E10360" w:rsidRPr="00E10360" w:rsidRDefault="00E10360" w:rsidP="00E10360">
      <w:pPr>
        <w:numPr>
          <w:ilvl w:val="0"/>
          <w:numId w:val="3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необходимость вести раздельный учет доходов и расходов при совмещении деятельности, подпадающей под ЕНВД с видами деятельности, в отношении которых ЕНВД не применяется;</w:t>
      </w:r>
    </w:p>
    <w:p w:rsidR="00E10360" w:rsidRPr="00E10360" w:rsidRDefault="00E10360" w:rsidP="00E10360">
      <w:pPr>
        <w:numPr>
          <w:ilvl w:val="0"/>
          <w:numId w:val="3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отсутствие возможности выбора иной системы налогообложения, в случае, если на территории, на которой осуществляется предпринимательская деятельность, введен ЕНВД для такого вида деятельности;</w:t>
      </w:r>
    </w:p>
    <w:p w:rsidR="00E10360" w:rsidRPr="00E10360" w:rsidRDefault="00E10360" w:rsidP="00E10360">
      <w:pPr>
        <w:numPr>
          <w:ilvl w:val="0"/>
          <w:numId w:val="3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ограничения прав на использование ЕНВД в зависимости от физических показателей (ст. 346.26 НК РФ)</w:t>
      </w:r>
    </w:p>
    <w:p w:rsidR="00E10360" w:rsidRPr="00E10360" w:rsidRDefault="00E10360" w:rsidP="00E10360">
      <w:pPr>
        <w:shd w:val="clear" w:color="auto" w:fill="FFFFFF"/>
        <w:spacing w:before="272" w:after="136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E10360">
        <w:rPr>
          <w:rFonts w:ascii="Arial" w:eastAsia="Times New Roman" w:hAnsi="Arial" w:cs="Arial"/>
          <w:color w:val="333333"/>
          <w:sz w:val="27"/>
          <w:szCs w:val="27"/>
        </w:rPr>
        <w:t>Сроки и порядок оплаты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Уплата единого налога производится налогоплательщиком по итогам налогового периода (квартала) не позднее 25-го числа первого месяца следующего налогового периода.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Налоговая декларация подается не позднее 25-го числа первого месяца следующего налогового периода (квартала).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Ставка единого налога устанавливается в размере 15 процентов величины вмененного дохода, скорректированной на соответствующие значения коэффициентов 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1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 и К2.</w:t>
      </w:r>
    </w:p>
    <w:p w:rsidR="00E10360" w:rsidRPr="00E10360" w:rsidRDefault="00E10360" w:rsidP="00E10360">
      <w:pPr>
        <w:numPr>
          <w:ilvl w:val="0"/>
          <w:numId w:val="4"/>
        </w:numPr>
        <w:shd w:val="clear" w:color="auto" w:fill="F5F5F5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Приказом</w:t>
      </w:r>
      <w:r w:rsidRPr="00E10360">
        <w:rPr>
          <w:rFonts w:ascii="Arial" w:eastAsia="Times New Roman" w:hAnsi="Arial" w:cs="Arial"/>
          <w:color w:val="444444"/>
          <w:sz w:val="19"/>
        </w:rPr>
        <w:t> </w:t>
      </w:r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Минэкономразвития России</w:t>
      </w:r>
      <w:r w:rsidRPr="00E10360">
        <w:rPr>
          <w:rFonts w:ascii="Arial" w:eastAsia="Times New Roman" w:hAnsi="Arial" w:cs="Arial"/>
          <w:color w:val="444444"/>
          <w:sz w:val="19"/>
        </w:rPr>
        <w:t> </w:t>
      </w:r>
      <w:r w:rsidRPr="00E10360">
        <w:rPr>
          <w:rFonts w:ascii="Arial" w:eastAsia="Times New Roman" w:hAnsi="Arial" w:cs="Arial"/>
          <w:color w:val="444444"/>
          <w:sz w:val="19"/>
          <w:szCs w:val="19"/>
        </w:rPr>
        <w:t>ежегодно устанавливается коэффициент-дефлятор 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1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 .</w:t>
      </w:r>
    </w:p>
    <w:p w:rsidR="00E10360" w:rsidRPr="00E10360" w:rsidRDefault="00E10360" w:rsidP="00E10360">
      <w:pPr>
        <w:shd w:val="clear" w:color="auto" w:fill="F5F5F5"/>
        <w:spacing w:after="136" w:line="240" w:lineRule="auto"/>
        <w:ind w:left="720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Местные власти</w:t>
      </w:r>
      <w:r w:rsidRPr="00E10360">
        <w:rPr>
          <w:rFonts w:ascii="Arial" w:eastAsia="Times New Roman" w:hAnsi="Arial" w:cs="Arial"/>
          <w:color w:val="444444"/>
          <w:sz w:val="19"/>
        </w:rPr>
        <w:t> </w:t>
      </w:r>
      <w:r w:rsidRPr="00E10360">
        <w:rPr>
          <w:rFonts w:ascii="Arial" w:eastAsia="Times New Roman" w:hAnsi="Arial" w:cs="Arial"/>
          <w:color w:val="444444"/>
          <w:sz w:val="19"/>
          <w:szCs w:val="19"/>
        </w:rPr>
        <w:t>устанавливают в отношении каждого вида предпринимательской деятельности значение коэффициента 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2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>, учитывающего особенности ведения предпринимательской деятельности.</w:t>
      </w:r>
    </w:p>
    <w:p w:rsidR="00E10360" w:rsidRPr="00E10360" w:rsidRDefault="00E10360" w:rsidP="00E10360">
      <w:pPr>
        <w:shd w:val="clear" w:color="auto" w:fill="F5F5F5"/>
        <w:spacing w:after="136" w:line="240" w:lineRule="auto"/>
        <w:ind w:left="720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При этом, при определении величины базовой доходности</w:t>
      </w:r>
      <w:r w:rsidRPr="00E10360">
        <w:rPr>
          <w:rFonts w:ascii="Arial" w:eastAsia="Times New Roman" w:hAnsi="Arial" w:cs="Arial"/>
          <w:color w:val="444444"/>
          <w:sz w:val="19"/>
        </w:rPr>
        <w:t> </w:t>
      </w:r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представительные органы муниципальных районов</w:t>
      </w:r>
      <w:r w:rsidRPr="00E10360">
        <w:rPr>
          <w:rFonts w:ascii="Arial" w:eastAsia="Times New Roman" w:hAnsi="Arial" w:cs="Arial"/>
          <w:color w:val="444444"/>
          <w:sz w:val="19"/>
          <w:szCs w:val="19"/>
        </w:rPr>
        <w:t>, городских округов, законодательные (представительные) органы государственной власти городов федерального значения Москвы и Санкт-Петербурга могут корректировать (умножать) базовую доходность на корректирующий коэффициент 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2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>.</w:t>
      </w:r>
    </w:p>
    <w:p w:rsidR="00E10360" w:rsidRPr="00E10360" w:rsidRDefault="00E10360" w:rsidP="00E10360">
      <w:pPr>
        <w:shd w:val="clear" w:color="auto" w:fill="F5F5F5"/>
        <w:spacing w:after="136" w:line="240" w:lineRule="auto"/>
        <w:ind w:left="720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lastRenderedPageBreak/>
        <w:t>И поскольку коэффициент 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2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 целиком и полностью в их власти, уровень базовой доходности по одному виду деятельности в разных городах (и даже районах одного города) может сильно отличаться.</w:t>
      </w:r>
    </w:p>
    <w:p w:rsidR="00E10360" w:rsidRPr="00E10360" w:rsidRDefault="00E10360" w:rsidP="00E10360">
      <w:pPr>
        <w:shd w:val="clear" w:color="auto" w:fill="FFFFFF"/>
        <w:spacing w:before="272" w:after="136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E10360">
        <w:rPr>
          <w:rFonts w:ascii="Arial" w:eastAsia="Times New Roman" w:hAnsi="Arial" w:cs="Arial"/>
          <w:color w:val="333333"/>
          <w:sz w:val="27"/>
          <w:szCs w:val="27"/>
        </w:rPr>
        <w:t>Как считать налог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Расчет налога осуществляется исходя из базовой доходности, установленной НК РФ для видов деятельности, подпадающих под ЕНВД.</w:t>
      </w:r>
    </w:p>
    <w:p w:rsidR="00E10360" w:rsidRPr="00E10360" w:rsidRDefault="00E10360" w:rsidP="00E10360">
      <w:pPr>
        <w:numPr>
          <w:ilvl w:val="0"/>
          <w:numId w:val="5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В соответствии с положениями п.3 ст. 346.29 установлены величины базовой доходности для тех видов деятельности, для которых возможно применение этой системы налогообложения.</w:t>
      </w:r>
    </w:p>
    <w:p w:rsidR="00E10360" w:rsidRPr="00E10360" w:rsidRDefault="00E10360" w:rsidP="00E1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Величины базовой доходности корректируются на коэффициенты (К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1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 и К2).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Коэффициент К</w:t>
      </w:r>
      <w:proofErr w:type="gramStart"/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1</w:t>
      </w:r>
      <w:proofErr w:type="gramEnd"/>
      <w:r w:rsidRPr="00E10360">
        <w:rPr>
          <w:rFonts w:ascii="Arial" w:eastAsia="Times New Roman" w:hAnsi="Arial" w:cs="Arial"/>
          <w:color w:val="444444"/>
          <w:sz w:val="19"/>
        </w:rPr>
        <w:t> </w:t>
      </w:r>
      <w:r w:rsidRPr="00E10360">
        <w:rPr>
          <w:rFonts w:ascii="Arial" w:eastAsia="Times New Roman" w:hAnsi="Arial" w:cs="Arial"/>
          <w:color w:val="444444"/>
          <w:sz w:val="19"/>
          <w:szCs w:val="19"/>
        </w:rPr>
        <w:t>(так называемый коэффициент-дефлятор) - индекс, отражающий изменение потребительских цен на товары (работы, услуги). Устанавливается ежегодно Минэкономразвития, не позднее 20 ноября предшествующего года.</w:t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Коэффициент К</w:t>
      </w:r>
      <w:proofErr w:type="gramStart"/>
      <w:r w:rsidRPr="00E10360">
        <w:rPr>
          <w:rFonts w:ascii="Arial" w:eastAsia="Times New Roman" w:hAnsi="Arial" w:cs="Arial"/>
          <w:b/>
          <w:bCs/>
          <w:color w:val="444444"/>
          <w:sz w:val="19"/>
          <w:szCs w:val="19"/>
        </w:rPr>
        <w:t>2</w:t>
      </w:r>
      <w:proofErr w:type="gramEnd"/>
      <w:r w:rsidRPr="00E10360">
        <w:rPr>
          <w:rFonts w:ascii="Arial" w:eastAsia="Times New Roman" w:hAnsi="Arial" w:cs="Arial"/>
          <w:b/>
          <w:bCs/>
          <w:color w:val="444444"/>
          <w:sz w:val="19"/>
        </w:rPr>
        <w:t> </w:t>
      </w:r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 и иные особенности. Устанавливается муниципалитетами и городами федерального значения Москва и Санкт-Петербург на </w:t>
      </w:r>
      <w:proofErr w:type="gramStart"/>
      <w:r w:rsidRPr="00E10360">
        <w:rPr>
          <w:rFonts w:ascii="Arial" w:eastAsia="Times New Roman" w:hAnsi="Arial" w:cs="Arial"/>
          <w:color w:val="444444"/>
          <w:sz w:val="19"/>
          <w:szCs w:val="19"/>
        </w:rPr>
        <w:t>год</w:t>
      </w:r>
      <w:proofErr w:type="gramEnd"/>
      <w:r w:rsidRPr="00E10360">
        <w:rPr>
          <w:rFonts w:ascii="Arial" w:eastAsia="Times New Roman" w:hAnsi="Arial" w:cs="Arial"/>
          <w:color w:val="444444"/>
          <w:sz w:val="19"/>
          <w:szCs w:val="19"/>
        </w:rPr>
        <w:t xml:space="preserve"> и могут быть установлены в пределах от 0,005 до 1 включительно.</w:t>
      </w:r>
    </w:p>
    <w:p w:rsidR="00E10360" w:rsidRPr="00E10360" w:rsidRDefault="00E10360" w:rsidP="00E10360">
      <w:pPr>
        <w:numPr>
          <w:ilvl w:val="0"/>
          <w:numId w:val="6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Сумма налога уменьшается на сумму страховых взносов на обязательное пенсионное страхование, уплаченных (в пределах исчисленных сумм) за этот же период времени, а также на сумму страховых взносов в виде фиксированных платежей, уплаченных индивидуальными предпринимателями за свое страхование, и на сумму выплаченных работникам пособий по временной нетрудоспособности.</w:t>
      </w:r>
    </w:p>
    <w:p w:rsidR="00E10360" w:rsidRPr="00E10360" w:rsidRDefault="00E10360" w:rsidP="00E10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E10360" w:rsidRPr="00E10360" w:rsidRDefault="00E10360" w:rsidP="00E1036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E10360">
        <w:rPr>
          <w:rFonts w:ascii="Arial" w:eastAsia="Times New Roman" w:hAnsi="Arial" w:cs="Arial"/>
          <w:color w:val="444444"/>
          <w:sz w:val="19"/>
          <w:szCs w:val="19"/>
        </w:rPr>
        <w:t>При этом сумма единого налога не может быть уменьшена более чем на 50 процентов.</w:t>
      </w:r>
    </w:p>
    <w:p w:rsidR="00E10360" w:rsidRPr="00E10360" w:rsidRDefault="00E10360" w:rsidP="00E10360">
      <w:pPr>
        <w:shd w:val="clear" w:color="auto" w:fill="FFFFFF"/>
        <w:spacing w:before="136" w:after="136" w:line="240" w:lineRule="auto"/>
        <w:outlineLvl w:val="4"/>
        <w:rPr>
          <w:rFonts w:ascii="Arial" w:eastAsia="Times New Roman" w:hAnsi="Arial" w:cs="Arial"/>
          <w:color w:val="333333"/>
        </w:rPr>
      </w:pPr>
      <w:r w:rsidRPr="00E10360">
        <w:rPr>
          <w:rFonts w:ascii="Arial" w:eastAsia="Times New Roman" w:hAnsi="Arial" w:cs="Arial"/>
          <w:color w:val="333333"/>
        </w:rPr>
        <w:t>Также налоговым кодексом предусмотрены основания, при которых нельзя перейти на ЕНВД:</w:t>
      </w:r>
    </w:p>
    <w:p w:rsidR="00E10360" w:rsidRPr="00E10360" w:rsidRDefault="00E10360" w:rsidP="00E10360">
      <w:pPr>
        <w:numPr>
          <w:ilvl w:val="0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организации и индивидуальные предприниматели, среднесписочная численность работников которых за предшествующий календарный год, превышает 100 человек;</w:t>
      </w:r>
    </w:p>
    <w:p w:rsidR="00E10360" w:rsidRPr="00E10360" w:rsidRDefault="00E10360" w:rsidP="00E10360">
      <w:pPr>
        <w:numPr>
          <w:ilvl w:val="0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 xml:space="preserve">организации, в которых доля участия других организаций составляет более 25 процентов. </w:t>
      </w:r>
      <w:proofErr w:type="gramStart"/>
      <w:r w:rsidRPr="00E10360">
        <w:rPr>
          <w:rFonts w:ascii="Arial" w:eastAsia="Times New Roman" w:hAnsi="Arial" w:cs="Arial"/>
          <w:color w:val="333333"/>
          <w:sz w:val="19"/>
          <w:szCs w:val="19"/>
        </w:rPr>
        <w:t>Указанное ограничение не распространяется на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на организации потребительской кооперации, а также на хозяйственные общества, единственными учредителями которых являются потребительские общества и их союзы;</w:t>
      </w:r>
      <w:proofErr w:type="gramEnd"/>
    </w:p>
    <w:p w:rsidR="00E10360" w:rsidRPr="00E10360" w:rsidRDefault="00E10360" w:rsidP="00E10360">
      <w:pPr>
        <w:numPr>
          <w:ilvl w:val="0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индивидуальные предприниматели, перешедшие на УСН на основе патента по видам предпринимательской деятельности, которые переведены на ЕНВД для отдельных видов деятельности;</w:t>
      </w:r>
    </w:p>
    <w:p w:rsidR="00E10360" w:rsidRPr="00E10360" w:rsidRDefault="00E10360" w:rsidP="00E10360">
      <w:pPr>
        <w:numPr>
          <w:ilvl w:val="0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учреждения образования, здравоохранения и социального обеспечения в части предпринимательской деятельности по оказанию услуг общественного питания,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учреждениями;</w:t>
      </w:r>
    </w:p>
    <w:p w:rsidR="00E10360" w:rsidRPr="00E10360" w:rsidRDefault="00E10360" w:rsidP="00E10360">
      <w:pPr>
        <w:numPr>
          <w:ilvl w:val="0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организации и индивидуальные предприниматели, осуществляющие следующие виды предпринимательской деятельности:</w:t>
      </w:r>
    </w:p>
    <w:p w:rsidR="00E10360" w:rsidRPr="00E10360" w:rsidRDefault="00E10360" w:rsidP="00E10360">
      <w:pPr>
        <w:numPr>
          <w:ilvl w:val="1"/>
          <w:numId w:val="7"/>
        </w:numPr>
        <w:shd w:val="clear" w:color="auto" w:fill="FFFFFF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972584" w:rsidRDefault="00E10360" w:rsidP="00E10360">
      <w:pPr>
        <w:numPr>
          <w:ilvl w:val="1"/>
          <w:numId w:val="7"/>
        </w:numPr>
        <w:shd w:val="clear" w:color="auto" w:fill="FFFFFF"/>
        <w:spacing w:before="100" w:beforeAutospacing="1" w:after="68" w:line="240" w:lineRule="auto"/>
      </w:pPr>
      <w:r w:rsidRPr="00E10360">
        <w:rPr>
          <w:rFonts w:ascii="Arial" w:eastAsia="Times New Roman" w:hAnsi="Arial" w:cs="Arial"/>
          <w:color w:val="333333"/>
          <w:sz w:val="19"/>
          <w:szCs w:val="19"/>
        </w:rPr>
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sectPr w:rsidR="0097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F365F"/>
    <w:multiLevelType w:val="multilevel"/>
    <w:tmpl w:val="0FD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D2131"/>
    <w:multiLevelType w:val="multilevel"/>
    <w:tmpl w:val="3D1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C505A"/>
    <w:multiLevelType w:val="multilevel"/>
    <w:tmpl w:val="A01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05D65"/>
    <w:multiLevelType w:val="multilevel"/>
    <w:tmpl w:val="880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653F2"/>
    <w:multiLevelType w:val="multilevel"/>
    <w:tmpl w:val="5CBA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B2CA7"/>
    <w:multiLevelType w:val="multilevel"/>
    <w:tmpl w:val="94EC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34065"/>
    <w:multiLevelType w:val="multilevel"/>
    <w:tmpl w:val="57A2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0360"/>
    <w:rsid w:val="00972584"/>
    <w:rsid w:val="00E1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1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03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103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1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26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444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15775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1932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16789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2019-04-29T06:07:00Z</dcterms:created>
  <dcterms:modified xsi:type="dcterms:W3CDTF">2019-04-29T06:07:00Z</dcterms:modified>
</cp:coreProperties>
</file>