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60" w:rsidRPr="00E10360" w:rsidRDefault="00E10360" w:rsidP="00E10360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</w:rPr>
      </w:pPr>
      <w:r w:rsidRPr="00E10360">
        <w:rPr>
          <w:rFonts w:ascii="Arial" w:eastAsia="Times New Roman" w:hAnsi="Arial" w:cs="Arial"/>
          <w:color w:val="333333"/>
          <w:kern w:val="36"/>
          <w:sz w:val="38"/>
          <w:szCs w:val="38"/>
        </w:rPr>
        <w:t>Вы выбрали ЕНВД</w:t>
      </w:r>
    </w:p>
    <w:p w:rsidR="00E10360" w:rsidRPr="00E10360" w:rsidRDefault="00E10360" w:rsidP="00E10360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E10360">
        <w:rPr>
          <w:rFonts w:ascii="Arial" w:eastAsia="Times New Roman" w:hAnsi="Arial" w:cs="Arial"/>
          <w:color w:val="444444"/>
          <w:sz w:val="19"/>
          <w:szCs w:val="19"/>
        </w:rPr>
        <w:t>Специальный налоговый режим, в рамках которого при исчислении и уплате налога, налогоплательщики руководствуются размером вмененного им дохода, который установлен НК РФ.</w:t>
      </w:r>
    </w:p>
    <w:p w:rsidR="00E10360" w:rsidRPr="00E10360" w:rsidRDefault="00E10360" w:rsidP="00E10360">
      <w:pPr>
        <w:numPr>
          <w:ilvl w:val="0"/>
          <w:numId w:val="1"/>
        </w:numPr>
        <w:shd w:val="clear" w:color="auto" w:fill="F5F5F5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E10360">
        <w:rPr>
          <w:rFonts w:ascii="Arial" w:eastAsia="Times New Roman" w:hAnsi="Arial" w:cs="Arial"/>
          <w:color w:val="333333"/>
          <w:sz w:val="19"/>
        </w:rPr>
        <w:t> </w:t>
      </w:r>
      <w:r w:rsidRPr="00E10360">
        <w:rPr>
          <w:rFonts w:ascii="Arial" w:eastAsia="Times New Roman" w:hAnsi="Arial" w:cs="Arial"/>
          <w:color w:val="333333"/>
          <w:sz w:val="19"/>
          <w:szCs w:val="19"/>
        </w:rPr>
        <w:t>В отличие от УСН, ЕНВД является обязательным налоговым режимом: организация или ИП обязаны на него перейти, если органом местного самоуправления принят соответствующий нормативный правовой акт, обязывающий применять ЕНВД для определенных видов деятельности</w:t>
      </w:r>
    </w:p>
    <w:p w:rsidR="00E10360" w:rsidRPr="00E10360" w:rsidRDefault="00E10360" w:rsidP="00E10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E10360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E10360" w:rsidRPr="00E10360" w:rsidRDefault="00E10360" w:rsidP="00E10360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E10360">
        <w:rPr>
          <w:rFonts w:ascii="Arial" w:eastAsia="Times New Roman" w:hAnsi="Arial" w:cs="Arial"/>
          <w:color w:val="444444"/>
          <w:sz w:val="19"/>
          <w:szCs w:val="19"/>
        </w:rPr>
        <w:t>Следует охарактеризовать основные преимущества и особенности данного налогового режима.</w:t>
      </w:r>
    </w:p>
    <w:p w:rsidR="00E10360" w:rsidRPr="00E10360" w:rsidRDefault="00E10360" w:rsidP="00E10360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E10360">
        <w:rPr>
          <w:rFonts w:ascii="Arial" w:eastAsia="Times New Roman" w:hAnsi="Arial" w:cs="Arial"/>
          <w:color w:val="333333"/>
          <w:sz w:val="27"/>
          <w:szCs w:val="27"/>
        </w:rPr>
        <w:t>Преимущества:</w:t>
      </w:r>
    </w:p>
    <w:p w:rsidR="00E10360" w:rsidRPr="00E10360" w:rsidRDefault="00E10360" w:rsidP="00E10360">
      <w:pPr>
        <w:numPr>
          <w:ilvl w:val="0"/>
          <w:numId w:val="2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E10360">
        <w:rPr>
          <w:rFonts w:ascii="Arial" w:eastAsia="Times New Roman" w:hAnsi="Arial" w:cs="Arial"/>
          <w:color w:val="333333"/>
          <w:sz w:val="19"/>
          <w:szCs w:val="19"/>
        </w:rPr>
        <w:t>низкая ставка налога;</w:t>
      </w:r>
    </w:p>
    <w:p w:rsidR="00E10360" w:rsidRPr="00E10360" w:rsidRDefault="00E10360" w:rsidP="00E10360">
      <w:pPr>
        <w:numPr>
          <w:ilvl w:val="0"/>
          <w:numId w:val="2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E10360">
        <w:rPr>
          <w:rFonts w:ascii="Arial" w:eastAsia="Times New Roman" w:hAnsi="Arial" w:cs="Arial"/>
          <w:color w:val="333333"/>
          <w:sz w:val="19"/>
          <w:szCs w:val="19"/>
        </w:rPr>
        <w:t>простой и прозрачный налоговый учет;</w:t>
      </w:r>
    </w:p>
    <w:p w:rsidR="00E10360" w:rsidRPr="00E10360" w:rsidRDefault="00E10360" w:rsidP="00E10360">
      <w:pPr>
        <w:numPr>
          <w:ilvl w:val="0"/>
          <w:numId w:val="2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E10360">
        <w:rPr>
          <w:rFonts w:ascii="Arial" w:eastAsia="Times New Roman" w:hAnsi="Arial" w:cs="Arial"/>
          <w:color w:val="333333"/>
          <w:sz w:val="19"/>
          <w:szCs w:val="19"/>
        </w:rPr>
        <w:t>легкое планирование сумм налога.</w:t>
      </w:r>
    </w:p>
    <w:p w:rsidR="00E10360" w:rsidRPr="00E10360" w:rsidRDefault="00E10360" w:rsidP="00E10360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E10360">
        <w:rPr>
          <w:rFonts w:ascii="Arial" w:eastAsia="Times New Roman" w:hAnsi="Arial" w:cs="Arial"/>
          <w:color w:val="444444"/>
          <w:sz w:val="19"/>
          <w:szCs w:val="19"/>
        </w:rPr>
        <w:t>Основным преимуществом, которое дает данный режим, является освобождение от уплаты ряда налогов: налога на прибыль организаций, налога на имущество организаций. Индивидуальные предприниматели, соответственно, освобождаются от обязанности по уплате налога на доходы физических лиц, налога на имущество физических лиц. Кроме того, организации и ИП, применяющие ЕНВД, не являются плательщиками НДС.</w:t>
      </w:r>
    </w:p>
    <w:p w:rsidR="00E10360" w:rsidRPr="00E10360" w:rsidRDefault="00E10360" w:rsidP="00E10360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E10360">
        <w:rPr>
          <w:rFonts w:ascii="Arial" w:eastAsia="Times New Roman" w:hAnsi="Arial" w:cs="Arial"/>
          <w:color w:val="333333"/>
          <w:sz w:val="27"/>
          <w:szCs w:val="27"/>
        </w:rPr>
        <w:t>Особенности:</w:t>
      </w:r>
    </w:p>
    <w:p w:rsidR="00E10360" w:rsidRPr="00E10360" w:rsidRDefault="00E10360" w:rsidP="00E10360">
      <w:pPr>
        <w:numPr>
          <w:ilvl w:val="0"/>
          <w:numId w:val="3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E10360">
        <w:rPr>
          <w:rFonts w:ascii="Arial" w:eastAsia="Times New Roman" w:hAnsi="Arial" w:cs="Arial"/>
          <w:color w:val="333333"/>
          <w:sz w:val="19"/>
          <w:szCs w:val="19"/>
        </w:rPr>
        <w:t>организации, в связи с применением ЕНВД, не освобождаются от ведения бухгалтерского учета. Никаких исключений и привилегий для них не предусмотрено, как например, для плательщиков УСН.</w:t>
      </w:r>
    </w:p>
    <w:p w:rsidR="00E10360" w:rsidRPr="00E10360" w:rsidRDefault="00E10360" w:rsidP="00E10360">
      <w:pPr>
        <w:numPr>
          <w:ilvl w:val="0"/>
          <w:numId w:val="3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E10360">
        <w:rPr>
          <w:rFonts w:ascii="Arial" w:eastAsia="Times New Roman" w:hAnsi="Arial" w:cs="Arial"/>
          <w:color w:val="333333"/>
          <w:sz w:val="19"/>
          <w:szCs w:val="19"/>
        </w:rPr>
        <w:t>необходимость вести раздельный учет доходов и расходов при совмещении деятельности, подпадающей под ЕНВД с видами деятельности, в отношении которых ЕНВД не применяется;</w:t>
      </w:r>
    </w:p>
    <w:p w:rsidR="00E10360" w:rsidRPr="00E10360" w:rsidRDefault="00E10360" w:rsidP="00E10360">
      <w:pPr>
        <w:numPr>
          <w:ilvl w:val="0"/>
          <w:numId w:val="3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E10360">
        <w:rPr>
          <w:rFonts w:ascii="Arial" w:eastAsia="Times New Roman" w:hAnsi="Arial" w:cs="Arial"/>
          <w:color w:val="333333"/>
          <w:sz w:val="19"/>
          <w:szCs w:val="19"/>
        </w:rPr>
        <w:t>отсутствие возможности выбора иной системы налогообложения, в случае, если на территории, на которой осуществляется предпринимательская деятельность, введен ЕНВД для такого вида деятельности;</w:t>
      </w:r>
    </w:p>
    <w:p w:rsidR="00E10360" w:rsidRPr="00E10360" w:rsidRDefault="00E10360" w:rsidP="00E10360">
      <w:pPr>
        <w:numPr>
          <w:ilvl w:val="0"/>
          <w:numId w:val="3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E10360">
        <w:rPr>
          <w:rFonts w:ascii="Arial" w:eastAsia="Times New Roman" w:hAnsi="Arial" w:cs="Arial"/>
          <w:color w:val="333333"/>
          <w:sz w:val="19"/>
          <w:szCs w:val="19"/>
        </w:rPr>
        <w:t>ограничения прав на использование ЕНВД в зависимости от физических показателей (ст. 346.26 НК РФ)</w:t>
      </w:r>
    </w:p>
    <w:p w:rsidR="00E10360" w:rsidRPr="00E10360" w:rsidRDefault="00E10360" w:rsidP="00E10360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E10360">
        <w:rPr>
          <w:rFonts w:ascii="Arial" w:eastAsia="Times New Roman" w:hAnsi="Arial" w:cs="Arial"/>
          <w:color w:val="333333"/>
          <w:sz w:val="27"/>
          <w:szCs w:val="27"/>
        </w:rPr>
        <w:t>Сроки и порядок оплаты</w:t>
      </w:r>
    </w:p>
    <w:p w:rsidR="00E10360" w:rsidRPr="00E10360" w:rsidRDefault="00E10360" w:rsidP="00E10360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E10360">
        <w:rPr>
          <w:rFonts w:ascii="Arial" w:eastAsia="Times New Roman" w:hAnsi="Arial" w:cs="Arial"/>
          <w:color w:val="444444"/>
          <w:sz w:val="19"/>
          <w:szCs w:val="19"/>
        </w:rPr>
        <w:t>Уплата единого налога производится налогоплательщиком по итогам налогового периода (квартала) не позднее 25-го числа первого месяца следующего налогового периода.</w:t>
      </w:r>
    </w:p>
    <w:p w:rsidR="00E10360" w:rsidRPr="00E10360" w:rsidRDefault="00E10360" w:rsidP="00E10360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E10360">
        <w:rPr>
          <w:rFonts w:ascii="Arial" w:eastAsia="Times New Roman" w:hAnsi="Arial" w:cs="Arial"/>
          <w:color w:val="444444"/>
          <w:sz w:val="19"/>
          <w:szCs w:val="19"/>
        </w:rPr>
        <w:t>Налоговая декларация подается не позднее 25-го числа первого месяца следующего налогового периода (квартала).</w:t>
      </w:r>
    </w:p>
    <w:p w:rsidR="00E10360" w:rsidRPr="00E10360" w:rsidRDefault="00E10360" w:rsidP="00E10360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E10360">
        <w:rPr>
          <w:rFonts w:ascii="Arial" w:eastAsia="Times New Roman" w:hAnsi="Arial" w:cs="Arial"/>
          <w:color w:val="444444"/>
          <w:sz w:val="19"/>
          <w:szCs w:val="19"/>
        </w:rPr>
        <w:t>Ставка единого налога устанавливается в размере 15 процентов величины вмененного дохода, скорректированной на соответствующие значения коэффициентов К</w:t>
      </w:r>
      <w:proofErr w:type="gramStart"/>
      <w:r w:rsidRPr="00E10360">
        <w:rPr>
          <w:rFonts w:ascii="Arial" w:eastAsia="Times New Roman" w:hAnsi="Arial" w:cs="Arial"/>
          <w:color w:val="444444"/>
          <w:sz w:val="19"/>
          <w:szCs w:val="19"/>
        </w:rPr>
        <w:t>1</w:t>
      </w:r>
      <w:proofErr w:type="gramEnd"/>
      <w:r w:rsidRPr="00E10360">
        <w:rPr>
          <w:rFonts w:ascii="Arial" w:eastAsia="Times New Roman" w:hAnsi="Arial" w:cs="Arial"/>
          <w:color w:val="444444"/>
          <w:sz w:val="19"/>
          <w:szCs w:val="19"/>
        </w:rPr>
        <w:t xml:space="preserve"> и К2.</w:t>
      </w:r>
    </w:p>
    <w:p w:rsidR="00E10360" w:rsidRPr="00E10360" w:rsidRDefault="00E10360" w:rsidP="00E10360">
      <w:pPr>
        <w:numPr>
          <w:ilvl w:val="0"/>
          <w:numId w:val="4"/>
        </w:numPr>
        <w:shd w:val="clear" w:color="auto" w:fill="F5F5F5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E10360">
        <w:rPr>
          <w:rFonts w:ascii="Arial" w:eastAsia="Times New Roman" w:hAnsi="Arial" w:cs="Arial"/>
          <w:color w:val="444444"/>
          <w:sz w:val="19"/>
          <w:szCs w:val="19"/>
        </w:rPr>
        <w:t>Приказом</w:t>
      </w:r>
      <w:r w:rsidRPr="00E10360">
        <w:rPr>
          <w:rFonts w:ascii="Arial" w:eastAsia="Times New Roman" w:hAnsi="Arial" w:cs="Arial"/>
          <w:color w:val="444444"/>
          <w:sz w:val="19"/>
        </w:rPr>
        <w:t> </w:t>
      </w:r>
      <w:r w:rsidRPr="00E10360">
        <w:rPr>
          <w:rFonts w:ascii="Arial" w:eastAsia="Times New Roman" w:hAnsi="Arial" w:cs="Arial"/>
          <w:b/>
          <w:bCs/>
          <w:color w:val="444444"/>
          <w:sz w:val="19"/>
          <w:szCs w:val="19"/>
        </w:rPr>
        <w:t>Минэкономразвития России</w:t>
      </w:r>
      <w:r w:rsidRPr="00E10360">
        <w:rPr>
          <w:rFonts w:ascii="Arial" w:eastAsia="Times New Roman" w:hAnsi="Arial" w:cs="Arial"/>
          <w:color w:val="444444"/>
          <w:sz w:val="19"/>
        </w:rPr>
        <w:t> </w:t>
      </w:r>
      <w:r w:rsidRPr="00E10360">
        <w:rPr>
          <w:rFonts w:ascii="Arial" w:eastAsia="Times New Roman" w:hAnsi="Arial" w:cs="Arial"/>
          <w:color w:val="444444"/>
          <w:sz w:val="19"/>
          <w:szCs w:val="19"/>
        </w:rPr>
        <w:t>ежегодно устанавливается коэффициент-дефлятор К</w:t>
      </w:r>
      <w:proofErr w:type="gramStart"/>
      <w:r w:rsidRPr="00E10360">
        <w:rPr>
          <w:rFonts w:ascii="Arial" w:eastAsia="Times New Roman" w:hAnsi="Arial" w:cs="Arial"/>
          <w:color w:val="444444"/>
          <w:sz w:val="19"/>
          <w:szCs w:val="19"/>
        </w:rPr>
        <w:t>1</w:t>
      </w:r>
      <w:proofErr w:type="gramEnd"/>
      <w:r w:rsidRPr="00E10360">
        <w:rPr>
          <w:rFonts w:ascii="Arial" w:eastAsia="Times New Roman" w:hAnsi="Arial" w:cs="Arial"/>
          <w:color w:val="444444"/>
          <w:sz w:val="19"/>
          <w:szCs w:val="19"/>
        </w:rPr>
        <w:t xml:space="preserve"> .</w:t>
      </w:r>
    </w:p>
    <w:p w:rsidR="00E10360" w:rsidRPr="00E10360" w:rsidRDefault="00E10360" w:rsidP="00E10360">
      <w:pPr>
        <w:shd w:val="clear" w:color="auto" w:fill="F5F5F5"/>
        <w:spacing w:after="136" w:line="240" w:lineRule="auto"/>
        <w:ind w:left="720"/>
        <w:rPr>
          <w:rFonts w:ascii="Arial" w:eastAsia="Times New Roman" w:hAnsi="Arial" w:cs="Arial"/>
          <w:color w:val="444444"/>
          <w:sz w:val="19"/>
          <w:szCs w:val="19"/>
        </w:rPr>
      </w:pPr>
      <w:r w:rsidRPr="00E10360">
        <w:rPr>
          <w:rFonts w:ascii="Arial" w:eastAsia="Times New Roman" w:hAnsi="Arial" w:cs="Arial"/>
          <w:b/>
          <w:bCs/>
          <w:color w:val="444444"/>
          <w:sz w:val="19"/>
          <w:szCs w:val="19"/>
        </w:rPr>
        <w:t>Местные власти</w:t>
      </w:r>
      <w:r w:rsidRPr="00E10360">
        <w:rPr>
          <w:rFonts w:ascii="Arial" w:eastAsia="Times New Roman" w:hAnsi="Arial" w:cs="Arial"/>
          <w:color w:val="444444"/>
          <w:sz w:val="19"/>
        </w:rPr>
        <w:t> </w:t>
      </w:r>
      <w:r w:rsidRPr="00E10360">
        <w:rPr>
          <w:rFonts w:ascii="Arial" w:eastAsia="Times New Roman" w:hAnsi="Arial" w:cs="Arial"/>
          <w:color w:val="444444"/>
          <w:sz w:val="19"/>
          <w:szCs w:val="19"/>
        </w:rPr>
        <w:t>устанавливают в отношении каждого вида предпринимательской деятельности значение коэффициента К</w:t>
      </w:r>
      <w:proofErr w:type="gramStart"/>
      <w:r w:rsidRPr="00E10360">
        <w:rPr>
          <w:rFonts w:ascii="Arial" w:eastAsia="Times New Roman" w:hAnsi="Arial" w:cs="Arial"/>
          <w:color w:val="444444"/>
          <w:sz w:val="19"/>
          <w:szCs w:val="19"/>
        </w:rPr>
        <w:t>2</w:t>
      </w:r>
      <w:proofErr w:type="gramEnd"/>
      <w:r w:rsidRPr="00E10360">
        <w:rPr>
          <w:rFonts w:ascii="Arial" w:eastAsia="Times New Roman" w:hAnsi="Arial" w:cs="Arial"/>
          <w:color w:val="444444"/>
          <w:sz w:val="19"/>
          <w:szCs w:val="19"/>
        </w:rPr>
        <w:t>, учитывающего особенности ведения предпринимательской деятельности.</w:t>
      </w:r>
    </w:p>
    <w:p w:rsidR="00E10360" w:rsidRPr="00E10360" w:rsidRDefault="00E10360" w:rsidP="00E10360">
      <w:pPr>
        <w:shd w:val="clear" w:color="auto" w:fill="F5F5F5"/>
        <w:spacing w:after="136" w:line="240" w:lineRule="auto"/>
        <w:ind w:left="720"/>
        <w:rPr>
          <w:rFonts w:ascii="Arial" w:eastAsia="Times New Roman" w:hAnsi="Arial" w:cs="Arial"/>
          <w:color w:val="444444"/>
          <w:sz w:val="19"/>
          <w:szCs w:val="19"/>
        </w:rPr>
      </w:pPr>
      <w:r w:rsidRPr="00E10360">
        <w:rPr>
          <w:rFonts w:ascii="Arial" w:eastAsia="Times New Roman" w:hAnsi="Arial" w:cs="Arial"/>
          <w:color w:val="444444"/>
          <w:sz w:val="19"/>
          <w:szCs w:val="19"/>
        </w:rPr>
        <w:t>При этом, при определении величины базовой доходности</w:t>
      </w:r>
      <w:r w:rsidRPr="00E10360">
        <w:rPr>
          <w:rFonts w:ascii="Arial" w:eastAsia="Times New Roman" w:hAnsi="Arial" w:cs="Arial"/>
          <w:color w:val="444444"/>
          <w:sz w:val="19"/>
        </w:rPr>
        <w:t> </w:t>
      </w:r>
      <w:r w:rsidRPr="00E10360">
        <w:rPr>
          <w:rFonts w:ascii="Arial" w:eastAsia="Times New Roman" w:hAnsi="Arial" w:cs="Arial"/>
          <w:b/>
          <w:bCs/>
          <w:color w:val="444444"/>
          <w:sz w:val="19"/>
          <w:szCs w:val="19"/>
        </w:rPr>
        <w:t>представительные органы муниципальных районов</w:t>
      </w:r>
      <w:r w:rsidRPr="00E10360">
        <w:rPr>
          <w:rFonts w:ascii="Arial" w:eastAsia="Times New Roman" w:hAnsi="Arial" w:cs="Arial"/>
          <w:color w:val="444444"/>
          <w:sz w:val="19"/>
          <w:szCs w:val="19"/>
        </w:rPr>
        <w:t>, городских округов, законодательные (представительные) органы государственной власти городов федерального значения Москвы и Санкт-Петербурга могут корректировать (умножать) базовую доходность на корректирующий коэффициент К</w:t>
      </w:r>
      <w:proofErr w:type="gramStart"/>
      <w:r w:rsidRPr="00E10360">
        <w:rPr>
          <w:rFonts w:ascii="Arial" w:eastAsia="Times New Roman" w:hAnsi="Arial" w:cs="Arial"/>
          <w:color w:val="444444"/>
          <w:sz w:val="19"/>
          <w:szCs w:val="19"/>
        </w:rPr>
        <w:t>2</w:t>
      </w:r>
      <w:proofErr w:type="gramEnd"/>
      <w:r w:rsidRPr="00E10360">
        <w:rPr>
          <w:rFonts w:ascii="Arial" w:eastAsia="Times New Roman" w:hAnsi="Arial" w:cs="Arial"/>
          <w:color w:val="444444"/>
          <w:sz w:val="19"/>
          <w:szCs w:val="19"/>
        </w:rPr>
        <w:t>.</w:t>
      </w:r>
    </w:p>
    <w:p w:rsidR="00E10360" w:rsidRPr="00E10360" w:rsidRDefault="00E10360" w:rsidP="00E10360">
      <w:pPr>
        <w:shd w:val="clear" w:color="auto" w:fill="F5F5F5"/>
        <w:spacing w:after="136" w:line="240" w:lineRule="auto"/>
        <w:ind w:left="720"/>
        <w:rPr>
          <w:rFonts w:ascii="Arial" w:eastAsia="Times New Roman" w:hAnsi="Arial" w:cs="Arial"/>
          <w:color w:val="444444"/>
          <w:sz w:val="19"/>
          <w:szCs w:val="19"/>
        </w:rPr>
      </w:pPr>
      <w:r w:rsidRPr="00E10360">
        <w:rPr>
          <w:rFonts w:ascii="Arial" w:eastAsia="Times New Roman" w:hAnsi="Arial" w:cs="Arial"/>
          <w:color w:val="444444"/>
          <w:sz w:val="19"/>
          <w:szCs w:val="19"/>
        </w:rPr>
        <w:lastRenderedPageBreak/>
        <w:t>И поскольку коэффициент К</w:t>
      </w:r>
      <w:proofErr w:type="gramStart"/>
      <w:r w:rsidRPr="00E10360">
        <w:rPr>
          <w:rFonts w:ascii="Arial" w:eastAsia="Times New Roman" w:hAnsi="Arial" w:cs="Arial"/>
          <w:color w:val="444444"/>
          <w:sz w:val="19"/>
          <w:szCs w:val="19"/>
        </w:rPr>
        <w:t>2</w:t>
      </w:r>
      <w:proofErr w:type="gramEnd"/>
      <w:r w:rsidRPr="00E10360">
        <w:rPr>
          <w:rFonts w:ascii="Arial" w:eastAsia="Times New Roman" w:hAnsi="Arial" w:cs="Arial"/>
          <w:color w:val="444444"/>
          <w:sz w:val="19"/>
          <w:szCs w:val="19"/>
        </w:rPr>
        <w:t xml:space="preserve"> целиком и полностью в их власти, уровень базовой доходности по одному виду деятельности в разных городах (и даже районах одного города) может сильно отличаться.</w:t>
      </w:r>
    </w:p>
    <w:p w:rsidR="00E10360" w:rsidRPr="00E10360" w:rsidRDefault="00E10360" w:rsidP="00E10360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E10360">
        <w:rPr>
          <w:rFonts w:ascii="Arial" w:eastAsia="Times New Roman" w:hAnsi="Arial" w:cs="Arial"/>
          <w:color w:val="333333"/>
          <w:sz w:val="27"/>
          <w:szCs w:val="27"/>
        </w:rPr>
        <w:t>Как считать налог</w:t>
      </w:r>
    </w:p>
    <w:p w:rsidR="00E10360" w:rsidRPr="00E10360" w:rsidRDefault="00E10360" w:rsidP="00E10360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E10360">
        <w:rPr>
          <w:rFonts w:ascii="Arial" w:eastAsia="Times New Roman" w:hAnsi="Arial" w:cs="Arial"/>
          <w:color w:val="444444"/>
          <w:sz w:val="19"/>
          <w:szCs w:val="19"/>
        </w:rPr>
        <w:t>Расчет налога осуществляется исходя из базовой доходности, установленной НК РФ для видов деятельности, подпадающих под ЕНВД.</w:t>
      </w:r>
    </w:p>
    <w:p w:rsidR="00E10360" w:rsidRPr="00E10360" w:rsidRDefault="00E10360" w:rsidP="00E10360">
      <w:pPr>
        <w:numPr>
          <w:ilvl w:val="0"/>
          <w:numId w:val="5"/>
        </w:numPr>
        <w:shd w:val="clear" w:color="auto" w:fill="F5F5F5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E10360">
        <w:rPr>
          <w:rFonts w:ascii="Arial" w:eastAsia="Times New Roman" w:hAnsi="Arial" w:cs="Arial"/>
          <w:color w:val="333333"/>
          <w:sz w:val="19"/>
          <w:szCs w:val="19"/>
        </w:rPr>
        <w:t>В соответствии с положениями п.3 ст. 346.29 установлены величины базовой доходности для тех видов деятельности, для которых возможно применение этой системы налогообложения.</w:t>
      </w:r>
    </w:p>
    <w:p w:rsidR="00E10360" w:rsidRPr="00E10360" w:rsidRDefault="00E10360" w:rsidP="00E10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E10360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E10360" w:rsidRPr="00E10360" w:rsidRDefault="00E10360" w:rsidP="00E10360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E10360">
        <w:rPr>
          <w:rFonts w:ascii="Arial" w:eastAsia="Times New Roman" w:hAnsi="Arial" w:cs="Arial"/>
          <w:color w:val="444444"/>
          <w:sz w:val="19"/>
          <w:szCs w:val="19"/>
        </w:rPr>
        <w:t>Величины базовой доходности корректируются на коэффициенты (К</w:t>
      </w:r>
      <w:proofErr w:type="gramStart"/>
      <w:r w:rsidRPr="00E10360">
        <w:rPr>
          <w:rFonts w:ascii="Arial" w:eastAsia="Times New Roman" w:hAnsi="Arial" w:cs="Arial"/>
          <w:color w:val="444444"/>
          <w:sz w:val="19"/>
          <w:szCs w:val="19"/>
        </w:rPr>
        <w:t>1</w:t>
      </w:r>
      <w:proofErr w:type="gramEnd"/>
      <w:r w:rsidRPr="00E10360">
        <w:rPr>
          <w:rFonts w:ascii="Arial" w:eastAsia="Times New Roman" w:hAnsi="Arial" w:cs="Arial"/>
          <w:color w:val="444444"/>
          <w:sz w:val="19"/>
          <w:szCs w:val="19"/>
        </w:rPr>
        <w:t xml:space="preserve"> и К2).</w:t>
      </w:r>
    </w:p>
    <w:p w:rsidR="00E10360" w:rsidRPr="00E10360" w:rsidRDefault="00E10360" w:rsidP="00E10360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E10360">
        <w:rPr>
          <w:rFonts w:ascii="Arial" w:eastAsia="Times New Roman" w:hAnsi="Arial" w:cs="Arial"/>
          <w:b/>
          <w:bCs/>
          <w:color w:val="444444"/>
          <w:sz w:val="19"/>
          <w:szCs w:val="19"/>
        </w:rPr>
        <w:t>Коэффициент К</w:t>
      </w:r>
      <w:proofErr w:type="gramStart"/>
      <w:r w:rsidRPr="00E10360">
        <w:rPr>
          <w:rFonts w:ascii="Arial" w:eastAsia="Times New Roman" w:hAnsi="Arial" w:cs="Arial"/>
          <w:b/>
          <w:bCs/>
          <w:color w:val="444444"/>
          <w:sz w:val="19"/>
          <w:szCs w:val="19"/>
        </w:rPr>
        <w:t>1</w:t>
      </w:r>
      <w:proofErr w:type="gramEnd"/>
      <w:r w:rsidRPr="00E10360">
        <w:rPr>
          <w:rFonts w:ascii="Arial" w:eastAsia="Times New Roman" w:hAnsi="Arial" w:cs="Arial"/>
          <w:color w:val="444444"/>
          <w:sz w:val="19"/>
        </w:rPr>
        <w:t> </w:t>
      </w:r>
      <w:r w:rsidRPr="00E10360">
        <w:rPr>
          <w:rFonts w:ascii="Arial" w:eastAsia="Times New Roman" w:hAnsi="Arial" w:cs="Arial"/>
          <w:color w:val="444444"/>
          <w:sz w:val="19"/>
          <w:szCs w:val="19"/>
        </w:rPr>
        <w:t>(так называемый коэффициент-дефлятор) - индекс, отражающий изменение потребительских цен на товары (работы, услуги). Устанавливается ежегодно Минэкономразвития, не позднее 20 ноября предшествующего года.</w:t>
      </w:r>
    </w:p>
    <w:p w:rsidR="00E10360" w:rsidRPr="00E10360" w:rsidRDefault="00E10360" w:rsidP="00E10360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E10360">
        <w:rPr>
          <w:rFonts w:ascii="Arial" w:eastAsia="Times New Roman" w:hAnsi="Arial" w:cs="Arial"/>
          <w:b/>
          <w:bCs/>
          <w:color w:val="444444"/>
          <w:sz w:val="19"/>
          <w:szCs w:val="19"/>
        </w:rPr>
        <w:t>Коэффициент К</w:t>
      </w:r>
      <w:proofErr w:type="gramStart"/>
      <w:r w:rsidRPr="00E10360">
        <w:rPr>
          <w:rFonts w:ascii="Arial" w:eastAsia="Times New Roman" w:hAnsi="Arial" w:cs="Arial"/>
          <w:b/>
          <w:bCs/>
          <w:color w:val="444444"/>
          <w:sz w:val="19"/>
          <w:szCs w:val="19"/>
        </w:rPr>
        <w:t>2</w:t>
      </w:r>
      <w:proofErr w:type="gramEnd"/>
      <w:r w:rsidRPr="00E10360">
        <w:rPr>
          <w:rFonts w:ascii="Arial" w:eastAsia="Times New Roman" w:hAnsi="Arial" w:cs="Arial"/>
          <w:b/>
          <w:bCs/>
          <w:color w:val="444444"/>
          <w:sz w:val="19"/>
        </w:rPr>
        <w:t> </w:t>
      </w:r>
      <w:r w:rsidRPr="00E10360">
        <w:rPr>
          <w:rFonts w:ascii="Arial" w:eastAsia="Times New Roman" w:hAnsi="Arial" w:cs="Arial"/>
          <w:color w:val="444444"/>
          <w:sz w:val="19"/>
          <w:szCs w:val="19"/>
        </w:rPr>
        <w:t xml:space="preserve">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 и иные особенности. Устанавливается муниципалитетами и городами федерального значения Москва и Санкт-Петербург на </w:t>
      </w:r>
      <w:proofErr w:type="gramStart"/>
      <w:r w:rsidRPr="00E10360">
        <w:rPr>
          <w:rFonts w:ascii="Arial" w:eastAsia="Times New Roman" w:hAnsi="Arial" w:cs="Arial"/>
          <w:color w:val="444444"/>
          <w:sz w:val="19"/>
          <w:szCs w:val="19"/>
        </w:rPr>
        <w:t>год</w:t>
      </w:r>
      <w:proofErr w:type="gramEnd"/>
      <w:r w:rsidRPr="00E10360">
        <w:rPr>
          <w:rFonts w:ascii="Arial" w:eastAsia="Times New Roman" w:hAnsi="Arial" w:cs="Arial"/>
          <w:color w:val="444444"/>
          <w:sz w:val="19"/>
          <w:szCs w:val="19"/>
        </w:rPr>
        <w:t xml:space="preserve"> и могут быть установлены в пределах от 0,005 до 1 включительно.</w:t>
      </w:r>
    </w:p>
    <w:p w:rsidR="00E10360" w:rsidRPr="00E10360" w:rsidRDefault="00E10360" w:rsidP="00E10360">
      <w:pPr>
        <w:numPr>
          <w:ilvl w:val="0"/>
          <w:numId w:val="6"/>
        </w:numPr>
        <w:shd w:val="clear" w:color="auto" w:fill="F5F5F5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E10360">
        <w:rPr>
          <w:rFonts w:ascii="Arial" w:eastAsia="Times New Roman" w:hAnsi="Arial" w:cs="Arial"/>
          <w:color w:val="333333"/>
          <w:sz w:val="19"/>
          <w:szCs w:val="19"/>
        </w:rPr>
        <w:t>Сумма налога уменьшается на сумму страховых взносов на обязательное пенсионное страхование, уплаченных (в пределах исчисленных сумм) за этот же период времени, а также на сумму страховых взносов в виде фиксированных платежей, уплаченных индивидуальными предпринимателями за свое страхование, и на сумму выплаченных работникам пособий по временной нетрудоспособности.</w:t>
      </w:r>
    </w:p>
    <w:p w:rsidR="00E10360" w:rsidRPr="00E10360" w:rsidRDefault="00E10360" w:rsidP="00E10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E10360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E10360" w:rsidRPr="00E10360" w:rsidRDefault="00E10360" w:rsidP="00E10360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E10360">
        <w:rPr>
          <w:rFonts w:ascii="Arial" w:eastAsia="Times New Roman" w:hAnsi="Arial" w:cs="Arial"/>
          <w:color w:val="444444"/>
          <w:sz w:val="19"/>
          <w:szCs w:val="19"/>
        </w:rPr>
        <w:t>При этом сумма единого налога не может быть уменьшена более чем на 50 процентов.</w:t>
      </w:r>
    </w:p>
    <w:p w:rsidR="00E10360" w:rsidRPr="00E10360" w:rsidRDefault="00E10360" w:rsidP="00E10360">
      <w:pPr>
        <w:shd w:val="clear" w:color="auto" w:fill="FFFFFF"/>
        <w:spacing w:before="136" w:after="136" w:line="240" w:lineRule="auto"/>
        <w:outlineLvl w:val="4"/>
        <w:rPr>
          <w:rFonts w:ascii="Arial" w:eastAsia="Times New Roman" w:hAnsi="Arial" w:cs="Arial"/>
          <w:color w:val="333333"/>
        </w:rPr>
      </w:pPr>
      <w:r w:rsidRPr="00E10360">
        <w:rPr>
          <w:rFonts w:ascii="Arial" w:eastAsia="Times New Roman" w:hAnsi="Arial" w:cs="Arial"/>
          <w:color w:val="333333"/>
        </w:rPr>
        <w:t>Также налоговым кодексом предусмотрены основания, при которых нельзя перейти на ЕНВД:</w:t>
      </w:r>
    </w:p>
    <w:p w:rsidR="00E10360" w:rsidRPr="00E10360" w:rsidRDefault="00E10360" w:rsidP="00E10360">
      <w:pPr>
        <w:numPr>
          <w:ilvl w:val="0"/>
          <w:numId w:val="7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E10360">
        <w:rPr>
          <w:rFonts w:ascii="Arial" w:eastAsia="Times New Roman" w:hAnsi="Arial" w:cs="Arial"/>
          <w:color w:val="333333"/>
          <w:sz w:val="19"/>
          <w:szCs w:val="19"/>
        </w:rPr>
        <w:t>организации и индивидуальные предприниматели, среднесписочная численность работников которых за предшествующий календарный год, превышает 100 человек;</w:t>
      </w:r>
    </w:p>
    <w:p w:rsidR="00E10360" w:rsidRPr="00E10360" w:rsidRDefault="00E10360" w:rsidP="00E10360">
      <w:pPr>
        <w:numPr>
          <w:ilvl w:val="0"/>
          <w:numId w:val="7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E10360">
        <w:rPr>
          <w:rFonts w:ascii="Arial" w:eastAsia="Times New Roman" w:hAnsi="Arial" w:cs="Arial"/>
          <w:color w:val="333333"/>
          <w:sz w:val="19"/>
          <w:szCs w:val="19"/>
        </w:rPr>
        <w:t xml:space="preserve">организации, в которых доля участия других организаций составляет более 25 процентов. </w:t>
      </w:r>
      <w:proofErr w:type="gramStart"/>
      <w:r w:rsidRPr="00E10360">
        <w:rPr>
          <w:rFonts w:ascii="Arial" w:eastAsia="Times New Roman" w:hAnsi="Arial" w:cs="Arial"/>
          <w:color w:val="333333"/>
          <w:sz w:val="19"/>
          <w:szCs w:val="19"/>
        </w:rPr>
        <w:t>Указанное ограничение не распространяется на 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на организации потребительской кооперации, а также на хозяйственные общества, единственными учредителями которых являются потребительские общества и их союзы;</w:t>
      </w:r>
      <w:proofErr w:type="gramEnd"/>
    </w:p>
    <w:p w:rsidR="00E10360" w:rsidRPr="00E10360" w:rsidRDefault="00E10360" w:rsidP="00E10360">
      <w:pPr>
        <w:numPr>
          <w:ilvl w:val="0"/>
          <w:numId w:val="7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E10360">
        <w:rPr>
          <w:rFonts w:ascii="Arial" w:eastAsia="Times New Roman" w:hAnsi="Arial" w:cs="Arial"/>
          <w:color w:val="333333"/>
          <w:sz w:val="19"/>
          <w:szCs w:val="19"/>
        </w:rPr>
        <w:t>индивидуальные предприниматели, перешедшие на УСН на основе патента по видам предпринимательской деятельности, которые переведены на ЕНВД для отдельных видов деятельности;</w:t>
      </w:r>
    </w:p>
    <w:p w:rsidR="00E10360" w:rsidRPr="00E10360" w:rsidRDefault="00E10360" w:rsidP="00E10360">
      <w:pPr>
        <w:numPr>
          <w:ilvl w:val="0"/>
          <w:numId w:val="7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E10360">
        <w:rPr>
          <w:rFonts w:ascii="Arial" w:eastAsia="Times New Roman" w:hAnsi="Arial" w:cs="Arial"/>
          <w:color w:val="333333"/>
          <w:sz w:val="19"/>
          <w:szCs w:val="19"/>
        </w:rPr>
        <w:t>учреждения образования, здравоохранения и социального обеспечения в части предпринимательской деятельности по оказанию услуг общественного питания,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учреждениями;</w:t>
      </w:r>
    </w:p>
    <w:p w:rsidR="00E10360" w:rsidRPr="00E10360" w:rsidRDefault="00E10360" w:rsidP="00E10360">
      <w:pPr>
        <w:numPr>
          <w:ilvl w:val="0"/>
          <w:numId w:val="7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E10360">
        <w:rPr>
          <w:rFonts w:ascii="Arial" w:eastAsia="Times New Roman" w:hAnsi="Arial" w:cs="Arial"/>
          <w:color w:val="333333"/>
          <w:sz w:val="19"/>
          <w:szCs w:val="19"/>
        </w:rPr>
        <w:t>организации и индивидуальные предприниматели, осуществляющие следующие виды предпринимательской деятельности:</w:t>
      </w:r>
    </w:p>
    <w:p w:rsidR="00E10360" w:rsidRPr="00E10360" w:rsidRDefault="00E10360" w:rsidP="00E10360">
      <w:pPr>
        <w:numPr>
          <w:ilvl w:val="1"/>
          <w:numId w:val="7"/>
        </w:numPr>
        <w:shd w:val="clear" w:color="auto" w:fill="FFFFFF"/>
        <w:spacing w:before="100" w:beforeAutospacing="1" w:after="68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E10360">
        <w:rPr>
          <w:rFonts w:ascii="Arial" w:eastAsia="Times New Roman" w:hAnsi="Arial" w:cs="Arial"/>
          <w:color w:val="333333"/>
          <w:sz w:val="19"/>
          <w:szCs w:val="19"/>
        </w:rPr>
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972584" w:rsidRDefault="00E10360" w:rsidP="00E10360">
      <w:pPr>
        <w:numPr>
          <w:ilvl w:val="1"/>
          <w:numId w:val="7"/>
        </w:numPr>
        <w:shd w:val="clear" w:color="auto" w:fill="FFFFFF"/>
        <w:spacing w:before="100" w:beforeAutospacing="1" w:after="68" w:line="240" w:lineRule="auto"/>
      </w:pPr>
      <w:r w:rsidRPr="00E10360">
        <w:rPr>
          <w:rFonts w:ascii="Arial" w:eastAsia="Times New Roman" w:hAnsi="Arial" w:cs="Arial"/>
          <w:color w:val="333333"/>
          <w:sz w:val="19"/>
          <w:szCs w:val="19"/>
        </w:rPr>
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sectPr w:rsidR="0097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365F"/>
    <w:multiLevelType w:val="multilevel"/>
    <w:tmpl w:val="0FDA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D2131"/>
    <w:multiLevelType w:val="multilevel"/>
    <w:tmpl w:val="3D1E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C505A"/>
    <w:multiLevelType w:val="multilevel"/>
    <w:tmpl w:val="A012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05D65"/>
    <w:multiLevelType w:val="multilevel"/>
    <w:tmpl w:val="8802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653F2"/>
    <w:multiLevelType w:val="multilevel"/>
    <w:tmpl w:val="5CBA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B2CA7"/>
    <w:multiLevelType w:val="multilevel"/>
    <w:tmpl w:val="94EC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34065"/>
    <w:multiLevelType w:val="multilevel"/>
    <w:tmpl w:val="57A2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0360"/>
    <w:rsid w:val="00972584"/>
    <w:rsid w:val="00E1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10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E10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3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103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E103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1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0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4269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4440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0" w:color="C39367"/>
                    <w:bottom w:val="none" w:sz="0" w:space="0" w:color="auto"/>
                    <w:right w:val="none" w:sz="0" w:space="0" w:color="auto"/>
                  </w:divBdr>
                </w:div>
                <w:div w:id="15775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0" w:color="C39367"/>
                    <w:bottom w:val="none" w:sz="0" w:space="0" w:color="auto"/>
                    <w:right w:val="none" w:sz="0" w:space="0" w:color="auto"/>
                  </w:divBdr>
                </w:div>
                <w:div w:id="1932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0" w:color="C39367"/>
                    <w:bottom w:val="none" w:sz="0" w:space="0" w:color="auto"/>
                    <w:right w:val="none" w:sz="0" w:space="0" w:color="auto"/>
                  </w:divBdr>
                </w:div>
                <w:div w:id="16789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0" w:color="C3936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5414</Characters>
  <Application>Microsoft Office Word</Application>
  <DocSecurity>0</DocSecurity>
  <Lines>45</Lines>
  <Paragraphs>12</Paragraphs>
  <ScaleCrop>false</ScaleCrop>
  <Company>Microsoft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2019-04-29T06:07:00Z</dcterms:created>
  <dcterms:modified xsi:type="dcterms:W3CDTF">2019-04-29T06:07:00Z</dcterms:modified>
</cp:coreProperties>
</file>