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3" w:rsidRPr="00BC5C68" w:rsidRDefault="00BC5C68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24699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BC5C68" w:rsidRDefault="00BC5C68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D336F8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1AF4" w:rsidRPr="00E01F68">
        <w:rPr>
          <w:rFonts w:ascii="Times New Roman" w:hAnsi="Times New Roman" w:cs="Times New Roman"/>
          <w:sz w:val="28"/>
          <w:szCs w:val="28"/>
        </w:rPr>
        <w:t>т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 w:rsidR="001B1AF4" w:rsidRPr="00E0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2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1B1AF4"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46325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F75859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</w:p>
    <w:p w:rsidR="001B1AF4" w:rsidRPr="001B1AF4" w:rsidRDefault="0024699A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BC5C68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BC5C68">
        <w:rPr>
          <w:sz w:val="28"/>
          <w:szCs w:val="28"/>
        </w:rPr>
        <w:t>сельского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BC5C68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BC5C68">
        <w:rPr>
          <w:sz w:val="28"/>
          <w:szCs w:val="28"/>
        </w:rPr>
        <w:t>сельского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BC5C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1AF4" w:rsidRDefault="00DE5704" w:rsidP="00B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04">
        <w:rPr>
          <w:rFonts w:ascii="Times New Roman" w:hAnsi="Times New Roman" w:cs="Times New Roman"/>
          <w:sz w:val="28"/>
          <w:szCs w:val="28"/>
        </w:rPr>
        <w:t xml:space="preserve">3. </w:t>
      </w:r>
      <w:r w:rsidR="00BC5C68">
        <w:rPr>
          <w:rFonts w:ascii="Times New Roman" w:hAnsi="Times New Roman" w:cs="Times New Roman"/>
          <w:sz w:val="28"/>
          <w:szCs w:val="28"/>
        </w:rPr>
        <w:t>Настоящее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BC5C68"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68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F2" w:rsidRPr="000C0F71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24699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AA">
        <w:rPr>
          <w:rFonts w:ascii="Times New Roman" w:hAnsi="Times New Roman" w:cs="Times New Roman"/>
          <w:sz w:val="28"/>
          <w:szCs w:val="28"/>
        </w:rPr>
        <w:t xml:space="preserve">             Е.И. Алексеева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0C0F71" w:rsidRP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sz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</w:rPr>
        <w:t xml:space="preserve">»    </w:t>
      </w:r>
      <w:r w:rsidR="00AE7BBA">
        <w:rPr>
          <w:rFonts w:ascii="Times New Roman" w:hAnsi="Times New Roman" w:cs="Times New Roman"/>
          <w:sz w:val="28"/>
        </w:rPr>
        <w:t xml:space="preserve"> от </w:t>
      </w:r>
      <w:r w:rsidR="00F75859">
        <w:rPr>
          <w:rFonts w:ascii="Times New Roman" w:hAnsi="Times New Roman" w:cs="Times New Roman"/>
          <w:sz w:val="28"/>
        </w:rPr>
        <w:t>29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F75859">
        <w:rPr>
          <w:rFonts w:ascii="Times New Roman" w:hAnsi="Times New Roman" w:cs="Times New Roman"/>
          <w:sz w:val="28"/>
        </w:rPr>
        <w:t>декабря</w:t>
      </w:r>
      <w:r w:rsidR="00FC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75859">
        <w:rPr>
          <w:rFonts w:ascii="Times New Roman" w:hAnsi="Times New Roman" w:cs="Times New Roman"/>
          <w:sz w:val="28"/>
        </w:rPr>
        <w:t>8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года № </w:t>
      </w:r>
      <w:r w:rsidR="00681C65">
        <w:rPr>
          <w:rFonts w:ascii="Times New Roman" w:hAnsi="Times New Roman" w:cs="Times New Roman"/>
          <w:sz w:val="28"/>
        </w:rPr>
        <w:t>1</w:t>
      </w:r>
      <w:r w:rsidR="00F75859">
        <w:rPr>
          <w:rFonts w:ascii="Times New Roman" w:hAnsi="Times New Roman" w:cs="Times New Roman"/>
          <w:sz w:val="28"/>
        </w:rPr>
        <w:t>7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FC026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FC0266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FC0266">
        <w:rPr>
          <w:sz w:val="28"/>
          <w:szCs w:val="28"/>
        </w:rPr>
        <w:t>сельского</w:t>
      </w:r>
      <w:proofErr w:type="gramEnd"/>
      <w:r w:rsidR="00FC0266">
        <w:rPr>
          <w:sz w:val="28"/>
          <w:szCs w:val="28"/>
        </w:rPr>
        <w:t xml:space="preserve">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FC0266">
        <w:rPr>
          <w:sz w:val="28"/>
          <w:szCs w:val="28"/>
        </w:rPr>
        <w:t>»</w:t>
      </w:r>
      <w:r w:rsidR="008E174F">
        <w:rPr>
          <w:sz w:val="28"/>
          <w:szCs w:val="28"/>
        </w:rPr>
        <w:t xml:space="preserve"> (далее – </w:t>
      </w:r>
      <w:r w:rsidR="00FC0266">
        <w:rPr>
          <w:sz w:val="28"/>
          <w:szCs w:val="28"/>
        </w:rPr>
        <w:t>б</w:t>
      </w:r>
      <w:r w:rsidR="008E174F">
        <w:rPr>
          <w:sz w:val="28"/>
          <w:szCs w:val="28"/>
        </w:rPr>
        <w:t>юджет</w:t>
      </w:r>
      <w:r w:rsidR="00FC0266">
        <w:rPr>
          <w:sz w:val="28"/>
          <w:szCs w:val="28"/>
        </w:rPr>
        <w:t xml:space="preserve"> поселения</w:t>
      </w:r>
      <w:r w:rsidRPr="00FF51A2">
        <w:rPr>
          <w:sz w:val="28"/>
          <w:szCs w:val="28"/>
        </w:rPr>
        <w:t>), используемых при составлении бюджета</w:t>
      </w:r>
      <w:r w:rsidR="008E174F">
        <w:rPr>
          <w:sz w:val="28"/>
          <w:szCs w:val="28"/>
        </w:rPr>
        <w:t xml:space="preserve"> </w:t>
      </w:r>
      <w:r w:rsidR="00FC0266">
        <w:rPr>
          <w:sz w:val="28"/>
          <w:szCs w:val="28"/>
        </w:rPr>
        <w:t xml:space="preserve">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>Целевые статьи расходов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FC0266">
        <w:rPr>
          <w:sz w:val="28"/>
          <w:szCs w:val="28"/>
        </w:rPr>
        <w:t>сельского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FC0266">
        <w:rPr>
          <w:sz w:val="28"/>
          <w:szCs w:val="28"/>
        </w:rPr>
        <w:t>»</w:t>
      </w:r>
      <w:r w:rsidRPr="00471FCC">
        <w:rPr>
          <w:bCs/>
          <w:sz w:val="28"/>
          <w:szCs w:val="28"/>
        </w:rPr>
        <w:t xml:space="preserve">, их подпрограммам и (или) непрограммным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 бюджета</w:t>
      </w:r>
      <w:r w:rsidR="00FC0266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28384A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бюджета </w:t>
      </w:r>
      <w:r w:rsidR="0028384A">
        <w:rPr>
          <w:sz w:val="28"/>
          <w:szCs w:val="28"/>
        </w:rPr>
        <w:t xml:space="preserve">поселения </w:t>
      </w:r>
      <w:r w:rsidRPr="00471FCC">
        <w:rPr>
          <w:sz w:val="28"/>
          <w:szCs w:val="28"/>
        </w:rPr>
        <w:t>на предоставление целевых межбюджетных трансфертов, определен порядок</w:t>
      </w:r>
      <w:r w:rsidR="0028384A">
        <w:rPr>
          <w:sz w:val="28"/>
          <w:szCs w:val="28"/>
        </w:rPr>
        <w:t xml:space="preserve"> отражения в доходах </w:t>
      </w:r>
      <w:r w:rsidRPr="00471FCC">
        <w:rPr>
          <w:sz w:val="28"/>
          <w:szCs w:val="28"/>
        </w:rPr>
        <w:t>поступлений указанных целевых межбюджетных трансфертов, а также пор</w:t>
      </w:r>
      <w:r w:rsidR="003D66AE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3D66AE">
        <w:rPr>
          <w:sz w:val="28"/>
          <w:szCs w:val="28"/>
        </w:rPr>
        <w:t>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3D66AE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>разряде кода значение 2 (код направления расходов бюджета), используются для отражения расходов бюджета</w:t>
      </w:r>
      <w:r w:rsidR="005F6BDA" w:rsidRPr="005F6BDA">
        <w:rPr>
          <w:bCs/>
          <w:sz w:val="28"/>
          <w:szCs w:val="28"/>
        </w:rPr>
        <w:t xml:space="preserve"> </w:t>
      </w:r>
      <w:r w:rsidR="005C600B">
        <w:rPr>
          <w:bCs/>
          <w:sz w:val="28"/>
          <w:szCs w:val="28"/>
        </w:rPr>
        <w:t xml:space="preserve">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  <w:r w:rsidRPr="005F6BDA">
        <w:rPr>
          <w:sz w:val="28"/>
          <w:szCs w:val="28"/>
        </w:rPr>
        <w:t xml:space="preserve"> 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>Коды целевых статей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) используются исключительно для отражения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>Отражение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бюджета</w:t>
      </w:r>
      <w:r w:rsidR="00097EA0">
        <w:rPr>
          <w:sz w:val="28"/>
          <w:szCs w:val="28"/>
        </w:rPr>
        <w:t xml:space="preserve">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</w:t>
      </w:r>
      <w:r w:rsidRPr="005F6BDA">
        <w:rPr>
          <w:sz w:val="28"/>
          <w:szCs w:val="28"/>
        </w:rPr>
        <w:lastRenderedPageBreak/>
        <w:t>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097EA0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Pr="00DE74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="00097EA0">
        <w:rPr>
          <w:bCs/>
          <w:sz w:val="28"/>
          <w:szCs w:val="28"/>
        </w:rPr>
        <w:t xml:space="preserve"> межбюджетных трансфертов местно</w:t>
      </w:r>
      <w:r w:rsidRPr="00DE74AF">
        <w:rPr>
          <w:bCs/>
          <w:sz w:val="28"/>
          <w:szCs w:val="28"/>
        </w:rPr>
        <w:t>м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бюджет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из </w:t>
      </w:r>
      <w:r w:rsidR="00097EA0">
        <w:rPr>
          <w:bCs/>
          <w:sz w:val="28"/>
          <w:szCs w:val="28"/>
        </w:rPr>
        <w:t>районного</w:t>
      </w:r>
      <w:r w:rsidRPr="00DE74AF">
        <w:rPr>
          <w:bCs/>
          <w:sz w:val="28"/>
          <w:szCs w:val="28"/>
        </w:rPr>
        <w:t xml:space="preserve">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 xml:space="preserve">бюджета </w:t>
      </w:r>
      <w:r w:rsidR="00F95CAB">
        <w:rPr>
          <w:sz w:val="28"/>
          <w:szCs w:val="28"/>
        </w:rPr>
        <w:t>поселения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осуществляется по целевым статьям расходов бюджета</w:t>
      </w:r>
      <w:r w:rsidR="00F95CAB">
        <w:rPr>
          <w:sz w:val="28"/>
          <w:szCs w:val="28"/>
        </w:rPr>
        <w:t xml:space="preserve">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по которым отражают</w:t>
      </w:r>
      <w:r w:rsidR="00F95CAB">
        <w:rPr>
          <w:sz w:val="28"/>
          <w:szCs w:val="28"/>
        </w:rPr>
        <w:t>ся расходы районного</w:t>
      </w:r>
      <w:r w:rsidRPr="00DE74AF">
        <w:rPr>
          <w:sz w:val="28"/>
          <w:szCs w:val="28"/>
        </w:rPr>
        <w:t xml:space="preserve"> бюджета на предоставление вышеуказанных межбюджетных трансфертов. </w:t>
      </w:r>
      <w:proofErr w:type="gramEnd"/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>
        <w:rPr>
          <w:bCs/>
          <w:sz w:val="28"/>
          <w:szCs w:val="28"/>
        </w:rPr>
        <w:t>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Pr="00902354">
        <w:rPr>
          <w:bCs/>
          <w:sz w:val="28"/>
          <w:szCs w:val="28"/>
        </w:rPr>
        <w:t xml:space="preserve">бюджета </w:t>
      </w:r>
      <w:r w:rsidR="00F95CAB">
        <w:rPr>
          <w:bCs/>
          <w:sz w:val="28"/>
          <w:szCs w:val="28"/>
        </w:rPr>
        <w:t xml:space="preserve">поселения </w:t>
      </w:r>
      <w:r w:rsidRPr="00902354">
        <w:rPr>
          <w:bCs/>
          <w:sz w:val="28"/>
          <w:szCs w:val="28"/>
        </w:rPr>
        <w:t>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  <w:r w:rsidRPr="00902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F95CAB">
        <w:rPr>
          <w:sz w:val="28"/>
          <w:szCs w:val="28"/>
        </w:rPr>
        <w:t xml:space="preserve"> поселения</w:t>
      </w:r>
      <w:r w:rsidR="001264A6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бюджета </w:t>
      </w:r>
      <w:r w:rsidR="00F95CAB">
        <w:rPr>
          <w:sz w:val="28"/>
          <w:szCs w:val="28"/>
        </w:rPr>
        <w:t xml:space="preserve">поселения </w:t>
      </w:r>
      <w:r w:rsidR="00472AE9">
        <w:rPr>
          <w:sz w:val="28"/>
          <w:szCs w:val="28"/>
        </w:rPr>
        <w:t>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F95CAB" w:rsidRDefault="00F95CAB" w:rsidP="00F95CAB">
      <w:pPr>
        <w:pStyle w:val="a5"/>
        <w:ind w:left="709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бюджета </w:t>
      </w:r>
      <w:r w:rsidR="00F95CA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lastRenderedPageBreak/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9100CE">
        <w:rPr>
          <w:rFonts w:ascii="Times New Roman" w:hAnsi="Times New Roman" w:cs="Times New Roman"/>
          <w:b/>
          <w:sz w:val="28"/>
          <w:szCs w:val="28"/>
        </w:rPr>
        <w:t>межбюджетны</w:t>
      </w:r>
      <w:r w:rsidR="00676387">
        <w:rPr>
          <w:rFonts w:ascii="Times New Roman" w:hAnsi="Times New Roman" w:cs="Times New Roman"/>
          <w:b/>
          <w:sz w:val="28"/>
          <w:szCs w:val="28"/>
        </w:rPr>
        <w:t>е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676387">
        <w:rPr>
          <w:rFonts w:ascii="Times New Roman" w:hAnsi="Times New Roman" w:cs="Times New Roman"/>
          <w:b/>
          <w:sz w:val="28"/>
          <w:szCs w:val="28"/>
        </w:rPr>
        <w:t>ы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бюджета поселени</w:t>
      </w:r>
      <w:r w:rsidR="00676387">
        <w:rPr>
          <w:rFonts w:ascii="Times New Roman" w:hAnsi="Times New Roman" w:cs="Times New Roman"/>
          <w:b/>
          <w:sz w:val="28"/>
          <w:szCs w:val="28"/>
        </w:rPr>
        <w:t>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  <w:r w:rsidR="0067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FD45EC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676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88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356163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676387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1741D6">
        <w:rPr>
          <w:b/>
          <w:sz w:val="28"/>
          <w:szCs w:val="28"/>
        </w:rPr>
        <w:t xml:space="preserve">районного </w:t>
      </w:r>
      <w:r w:rsidRPr="009F2452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793A56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793A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793A56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793A56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793A5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56">
        <w:rPr>
          <w:rFonts w:ascii="Times New Roman" w:hAnsi="Times New Roman" w:cs="Times New Roman"/>
          <w:sz w:val="28"/>
          <w:szCs w:val="28"/>
        </w:rPr>
        <w:t>Поступле</w:t>
      </w:r>
      <w:r w:rsidR="008F69D4" w:rsidRPr="00793A56">
        <w:rPr>
          <w:rFonts w:ascii="Times New Roman" w:hAnsi="Times New Roman" w:cs="Times New Roman"/>
          <w:sz w:val="28"/>
          <w:szCs w:val="28"/>
        </w:rPr>
        <w:t>ние в бюджеты муниципального района</w:t>
      </w:r>
      <w:r w:rsidRPr="00793A56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793A56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793A56">
        <w:rPr>
          <w:rFonts w:ascii="Times New Roman" w:hAnsi="Times New Roman" w:cs="Times New Roman"/>
          <w:sz w:val="28"/>
          <w:szCs w:val="28"/>
        </w:rPr>
        <w:t xml:space="preserve">) субсидий на указанные цели отражается по коду </w:t>
      </w:r>
      <w:r w:rsidR="008F69D4" w:rsidRPr="00793A56">
        <w:rPr>
          <w:rFonts w:ascii="Times New Roman" w:hAnsi="Times New Roman" w:cs="Times New Roman"/>
          <w:sz w:val="28"/>
          <w:szCs w:val="28"/>
        </w:rPr>
        <w:t xml:space="preserve">      </w:t>
      </w:r>
      <w:r w:rsidRPr="00793A56">
        <w:rPr>
          <w:rFonts w:ascii="Times New Roman" w:hAnsi="Times New Roman" w:cs="Times New Roman"/>
          <w:sz w:val="28"/>
          <w:szCs w:val="28"/>
        </w:rPr>
        <w:t>000 2 02 02999 00 0000 151 "Прочие субсидии" классификации доходов бюджетов.</w:t>
      </w:r>
      <w:bookmarkStart w:id="0" w:name="_GoBack"/>
      <w:bookmarkEnd w:id="0"/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бюджетов муниципальных районов на исполнение органами местного самоуправления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</w:t>
      </w:r>
      <w:r w:rsidR="00DE3770" w:rsidRPr="00817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88E">
        <w:rPr>
          <w:rFonts w:ascii="Times New Roman" w:hAnsi="Times New Roman" w:cs="Times New Roman"/>
          <w:sz w:val="28"/>
          <w:szCs w:val="28"/>
        </w:rPr>
        <w:t xml:space="preserve">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13757D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4DC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3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DC"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1788E">
        <w:rPr>
          <w:rFonts w:ascii="Times New Roman" w:hAnsi="Times New Roman" w:cs="Times New Roman"/>
          <w:sz w:val="28"/>
          <w:szCs w:val="28"/>
        </w:rPr>
        <w:t>ьного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788E">
        <w:rPr>
          <w:rFonts w:ascii="Times New Roman" w:hAnsi="Times New Roman" w:cs="Times New Roman"/>
          <w:sz w:val="28"/>
          <w:szCs w:val="28"/>
        </w:rPr>
        <w:t xml:space="preserve">а 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субвенций на указанные цели отражается по коду 000 2 02 03024 00 0000 151 "Субвенции </w:t>
      </w:r>
      <w:r w:rsidR="00A34CC2" w:rsidRPr="0081788E">
        <w:rPr>
          <w:rFonts w:ascii="Times New Roman" w:hAnsi="Times New Roman" w:cs="Times New Roman"/>
          <w:sz w:val="28"/>
          <w:szCs w:val="28"/>
        </w:rPr>
        <w:lastRenderedPageBreak/>
        <w:t>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  <w:proofErr w:type="gramEnd"/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>тупление в бюджет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муниципального района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>По данному направлению расходов отражаются расходы бюджета муниципального района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>тупление в бюджет муниципального района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9F20B8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0B8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9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  </w:r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      </w:t>
      </w:r>
      <w:r w:rsidR="002712C7" w:rsidRPr="0081788E">
        <w:rPr>
          <w:szCs w:val="28"/>
        </w:rPr>
        <w:t xml:space="preserve">   </w:t>
      </w:r>
      <w:r w:rsidRPr="0081788E">
        <w:rPr>
          <w:szCs w:val="28"/>
        </w:rPr>
        <w:t xml:space="preserve">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81788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             </w:t>
      </w:r>
      <w:proofErr w:type="gramStart"/>
      <w:r w:rsidRPr="0081788E">
        <w:rPr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Pr="0081788E">
        <w:rPr>
          <w:b/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A70E02" w:rsidRPr="0081788E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81788E">
        <w:rPr>
          <w:sz w:val="28"/>
          <w:szCs w:val="28"/>
        </w:rPr>
        <w:t xml:space="preserve"> 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Pr="0081788E">
        <w:rPr>
          <w:rFonts w:ascii="Arial" w:hAnsi="Arial" w:cs="Arial"/>
          <w:sz w:val="18"/>
          <w:szCs w:val="1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муниципального района на осуществление передаваемого полномочия </w:t>
      </w:r>
      <w:r w:rsidRPr="008B3673">
        <w:rPr>
          <w:sz w:val="28"/>
          <w:szCs w:val="28"/>
        </w:rPr>
        <w:t xml:space="preserve">по дорожной деятельности в отношении автомобильных дорог местного </w:t>
      </w:r>
      <w:r w:rsidRPr="008B3673">
        <w:rPr>
          <w:sz w:val="28"/>
          <w:szCs w:val="28"/>
        </w:rPr>
        <w:lastRenderedPageBreak/>
        <w:t>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муниципального района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788E">
        <w:rPr>
          <w:rFonts w:ascii="Times New Roman" w:hAnsi="Times New Roman" w:cs="Times New Roman"/>
          <w:sz w:val="28"/>
          <w:szCs w:val="28"/>
        </w:rPr>
        <w:t xml:space="preserve">бюджета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D040EE"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02002 Выборы в представительный орган </w:t>
      </w:r>
      <w:proofErr w:type="gramStart"/>
      <w:r w:rsidRPr="00481F49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proofErr w:type="gramEnd"/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Pr="00481F49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муниципального </w:t>
      </w:r>
      <w:r w:rsidR="00A21410" w:rsidRPr="00693ABE">
        <w:rPr>
          <w:szCs w:val="28"/>
        </w:rPr>
        <w:t>образования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районного бюджета на</w:t>
      </w:r>
      <w:r w:rsidR="0092789F" w:rsidRPr="00693ABE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3A4D63" w:rsidRPr="00693ABE">
        <w:rPr>
          <w:szCs w:val="28"/>
        </w:rPr>
        <w:t>муниципального района «Хилокский район».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06065</w:t>
      </w:r>
      <w:r w:rsidR="00A34CC2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Процентные платежи по муниципальному долгу 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муниципального района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процентные платежи по бюджетным кредитам, предоставленным муниципальному району «Хилокский район»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34CC2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бюджета, связанные с управлением муниципальной собственностью муниципального района «Хилокский район»,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«Хилокский район»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данной целевой статье планируются бюджетные ассигнования на образование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«Хилокский район»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муниципального района </w:t>
      </w: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</w:t>
      </w:r>
      <w:r w:rsidRPr="00693ABE">
        <w:rPr>
          <w:rFonts w:ascii="Times New Roman" w:hAnsi="Times New Roman" w:cs="Times New Roman"/>
          <w:bCs/>
          <w:sz w:val="28"/>
          <w:szCs w:val="28"/>
        </w:rPr>
        <w:t>бюджета на создание условий для занятий физической культурой и спортом различных слоев населения, на организацию и проведение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4A2738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  <w:proofErr w:type="gramEnd"/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 xml:space="preserve">По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данному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>направлению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расходов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>отражаются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расходы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</w:t>
      </w:r>
      <w:proofErr w:type="gramStart"/>
      <w:r w:rsidR="0044602E" w:rsidRPr="00693ABE">
        <w:rPr>
          <w:sz w:val="28"/>
          <w:szCs w:val="28"/>
        </w:rPr>
        <w:t>районного</w:t>
      </w:r>
      <w:proofErr w:type="gramEnd"/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44602E" w:rsidRPr="00693ABE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F9">
        <w:rPr>
          <w:rFonts w:ascii="Times New Roman" w:hAnsi="Times New Roman" w:cs="Times New Roman"/>
          <w:sz w:val="28"/>
          <w:szCs w:val="28"/>
        </w:rPr>
        <w:t>по обеспечению доступа инвалидов и маломобильных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районного бюджета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муниципального </w:t>
      </w:r>
      <w:r w:rsidR="00C4453B">
        <w:rPr>
          <w:rFonts w:ascii="Times New Roman" w:hAnsi="Times New Roman"/>
          <w:sz w:val="28"/>
          <w:szCs w:val="28"/>
        </w:rPr>
        <w:t>района «Хилокский район» на 20189-2022</w:t>
      </w:r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>обеспечению доступа инвалидов и маломобильных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  <w:proofErr w:type="gramEnd"/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организацию и проведение социально-значимых для муниципального района «Хилокский район» 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освещение деятельности органов местного самоуправления муниципального района и публикацию нормативных правовых актов, на подготовку и опубликование информационных материалов Администрации муниципального района «Хилокский район» 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районного бюджета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муниципального района «Хилокский район»</w:t>
      </w:r>
    </w:p>
    <w:p w:rsidR="006155B0" w:rsidRPr="00693ABE" w:rsidRDefault="006155B0" w:rsidP="006155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территориальному планированию и обеспечению градостроительной деятельности на территории муниципального района «Хилокский район». </w:t>
      </w: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модернизации объектов теплоснабжения, водоснабжения и водоотведения, находящихся в собственности муниципального района.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44906 Реализация мероприятий по осуществлению </w:t>
      </w:r>
      <w:proofErr w:type="gramStart"/>
      <w:r w:rsidRPr="00693ABE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осуществление полномочий муниципального района по контролю качества питьевой воды источников питьевого водоснабжения муниципального района «Хилокский район».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>выплату пенсии за выслугу лет муниципальным служащим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Pr="00693ABE">
        <w:rPr>
          <w:rFonts w:ascii="Times New Roman" w:hAnsi="Times New Roman" w:cs="Times New Roman"/>
          <w:bCs/>
          <w:sz w:val="28"/>
          <w:szCs w:val="28"/>
        </w:rPr>
        <w:t>муниципального района «Хилокский район», в том числе почтовые расходы.</w:t>
      </w:r>
      <w:r w:rsidR="00271917" w:rsidRPr="00693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профилактике безнадзорности и правонарушений среди несовершеннолетних в Хилокском районе</w:t>
      </w:r>
      <w:r w:rsidR="005F4433" w:rsidRPr="00693ABE">
        <w:rPr>
          <w:rFonts w:ascii="Times New Roman" w:hAnsi="Times New Roman" w:cs="Times New Roman"/>
          <w:sz w:val="28"/>
          <w:szCs w:val="28"/>
        </w:rPr>
        <w:t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Хилокском районе.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</w:t>
      </w:r>
      <w:r w:rsidR="00214347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>детским 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Культурно-досуговые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>бюджета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редоставление субсидий бюджетному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учреждению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</w:t>
      </w:r>
      <w:proofErr w:type="gramStart"/>
      <w:r w:rsidR="005F4433" w:rsidRPr="00693ABE">
        <w:rPr>
          <w:rFonts w:ascii="Times New Roman" w:hAnsi="Times New Roman" w:cs="Times New Roman"/>
          <w:sz w:val="28"/>
          <w:szCs w:val="28"/>
        </w:rPr>
        <w:t xml:space="preserve">  </w:t>
      </w:r>
      <w:r w:rsidRPr="0069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>рочие учреждения</w:t>
      </w:r>
    </w:p>
    <w:p w:rsidR="006155B0" w:rsidRDefault="002A1924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433"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финансовое обеспечение</w:t>
      </w:r>
      <w:r w:rsidR="005F4433"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Pr="00693ABE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</w:t>
      </w:r>
      <w:r w:rsidRPr="00693ABE">
        <w:rPr>
          <w:rFonts w:ascii="Times New Roman" w:hAnsi="Times New Roman" w:cs="Times New Roman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8C4FE9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>бюджета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бюджета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D14687">
        <w:rPr>
          <w:rFonts w:ascii="Times New Roman" w:hAnsi="Times New Roman" w:cs="Times New Roman"/>
          <w:sz w:val="28"/>
          <w:szCs w:val="28"/>
        </w:rPr>
        <w:t xml:space="preserve"> </w:t>
      </w:r>
      <w:r w:rsidR="006733B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14687">
        <w:rPr>
          <w:rFonts w:ascii="Times New Roman" w:hAnsi="Times New Roman" w:cs="Times New Roman"/>
          <w:sz w:val="28"/>
          <w:szCs w:val="28"/>
        </w:rPr>
        <w:t>бюджета</w:t>
      </w:r>
      <w:r w:rsidR="006733B0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муниципального района «Хилокский район»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B2475C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2738"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2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lastRenderedPageBreak/>
        <w:t>стабильности и прее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10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4A" w:rsidRDefault="00B5264A" w:rsidP="00471FCC">
      <w:pPr>
        <w:spacing w:after="0" w:line="240" w:lineRule="auto"/>
      </w:pPr>
      <w:r>
        <w:separator/>
      </w:r>
    </w:p>
  </w:endnote>
  <w:endnote w:type="continuationSeparator" w:id="0">
    <w:p w:rsidR="00B5264A" w:rsidRDefault="00B5264A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4A" w:rsidRDefault="00B5264A" w:rsidP="00471FCC">
      <w:pPr>
        <w:spacing w:after="0" w:line="240" w:lineRule="auto"/>
      </w:pPr>
      <w:r>
        <w:separator/>
      </w:r>
    </w:p>
  </w:footnote>
  <w:footnote w:type="continuationSeparator" w:id="0">
    <w:p w:rsidR="00B5264A" w:rsidRDefault="00B5264A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6F8" w:rsidRPr="00471FCC" w:rsidRDefault="00784AB7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D336F8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793A56">
          <w:rPr>
            <w:rFonts w:ascii="Times New Roman" w:hAnsi="Times New Roman" w:cs="Times New Roman"/>
            <w:noProof/>
          </w:rPr>
          <w:t>4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D336F8" w:rsidRDefault="00D336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97EA0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3429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270F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99A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8384A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66AE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3253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00B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65F3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76387"/>
    <w:rsid w:val="00680440"/>
    <w:rsid w:val="006807D2"/>
    <w:rsid w:val="00681C65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4AB7"/>
    <w:rsid w:val="00786356"/>
    <w:rsid w:val="007864DC"/>
    <w:rsid w:val="00787BE3"/>
    <w:rsid w:val="007918ED"/>
    <w:rsid w:val="00793869"/>
    <w:rsid w:val="00793A56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6D8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3AA"/>
    <w:rsid w:val="00931410"/>
    <w:rsid w:val="009316D8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05DF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264A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C5C68"/>
    <w:rsid w:val="00BD337E"/>
    <w:rsid w:val="00BD3BA9"/>
    <w:rsid w:val="00BD6271"/>
    <w:rsid w:val="00BE337B"/>
    <w:rsid w:val="00BF2042"/>
    <w:rsid w:val="00BF2D54"/>
    <w:rsid w:val="00BF41F1"/>
    <w:rsid w:val="00C00C0F"/>
    <w:rsid w:val="00C05218"/>
    <w:rsid w:val="00C05A01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36F8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07BB0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08A3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1AF2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859"/>
    <w:rsid w:val="00F75F7C"/>
    <w:rsid w:val="00F76981"/>
    <w:rsid w:val="00F776F4"/>
    <w:rsid w:val="00F83455"/>
    <w:rsid w:val="00F8770F"/>
    <w:rsid w:val="00F95B0D"/>
    <w:rsid w:val="00F95CAB"/>
    <w:rsid w:val="00FA2D1C"/>
    <w:rsid w:val="00FA6689"/>
    <w:rsid w:val="00FB020E"/>
    <w:rsid w:val="00FB3EB4"/>
    <w:rsid w:val="00FB41B8"/>
    <w:rsid w:val="00FB6046"/>
    <w:rsid w:val="00FC026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0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EB18-6BC9-4546-8612-47C44811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19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Алина Андреевна</dc:creator>
  <cp:lastModifiedBy>user</cp:lastModifiedBy>
  <cp:revision>177</cp:revision>
  <cp:lastPrinted>2018-11-19T07:05:00Z</cp:lastPrinted>
  <dcterms:created xsi:type="dcterms:W3CDTF">2016-09-20T06:57:00Z</dcterms:created>
  <dcterms:modified xsi:type="dcterms:W3CDTF">2019-03-13T06:16:00Z</dcterms:modified>
</cp:coreProperties>
</file>