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13B1"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 w:rsidR="001213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213B1">
        <w:rPr>
          <w:rFonts w:ascii="Times New Roman" w:eastAsia="Times New Roman" w:hAnsi="Times New Roman"/>
          <w:sz w:val="28"/>
          <w:szCs w:val="28"/>
          <w:lang w:eastAsia="ru-RU"/>
        </w:rPr>
        <w:t>95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9D7734" w:rsidRPr="009D7734">
        <w:rPr>
          <w:rFonts w:ascii="Times New Roman" w:hAnsi="Times New Roman"/>
          <w:b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Pr="009D7734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утвержденный постановлением администрации сельск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ения «Харагунское» № 247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«Харагунское», администрация сельского поселения «Харагунское»,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A0EE1" w:rsidRPr="000A0EE1" w:rsidRDefault="000A0EE1" w:rsidP="0067463A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административный регламент предоставления муниципальной услуги </w:t>
      </w:r>
      <w:r w:rsidR="009D7734">
        <w:rPr>
          <w:rFonts w:ascii="Times New Roman" w:hAnsi="Times New Roman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="0067463A" w:rsidRPr="0067463A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сельского посел</w:t>
      </w:r>
      <w:r w:rsidR="009D7734">
        <w:rPr>
          <w:rFonts w:ascii="Times New Roman" w:eastAsia="Times New Roman" w:hAnsi="Times New Roman"/>
          <w:sz w:val="28"/>
          <w:szCs w:val="28"/>
          <w:lang w:eastAsia="ru-RU"/>
        </w:rPr>
        <w:t>ения «Харагунское» № 247</w:t>
      </w:r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E1" w:rsidRDefault="000A0EE1" w:rsidP="000A0EE1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15.7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15.7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в жалобе заявителя содержится вопрос, на который многократно давались письменные ответы по существу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направлявшихся обращений (в случае если в жалобе не приводятся новые доводы и обстоятельства);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A0EE1" w:rsidRDefault="000A0EE1" w:rsidP="000A0EE1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1213B1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0A0E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0EE1" w:rsidRDefault="000A0EE1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                  </w:t>
      </w:r>
      <w:r w:rsidR="001213B1">
        <w:rPr>
          <w:rFonts w:ascii="Times New Roman" w:hAnsi="Times New Roman"/>
          <w:sz w:val="28"/>
          <w:szCs w:val="28"/>
        </w:rPr>
        <w:t>Т.А. Подопригора</w:t>
      </w:r>
    </w:p>
    <w:p w:rsidR="000A0EE1" w:rsidRDefault="000A0EE1" w:rsidP="000A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A0EE1" w:rsidRDefault="000A0EE1" w:rsidP="000A0EE1"/>
    <w:p w:rsidR="000A0EE1" w:rsidRDefault="000A0EE1" w:rsidP="000A0EE1"/>
    <w:p w:rsidR="002067FF" w:rsidRDefault="002067FF"/>
    <w:sectPr w:rsidR="002067FF" w:rsidSect="002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E1"/>
    <w:rsid w:val="000A0EE1"/>
    <w:rsid w:val="001213B1"/>
    <w:rsid w:val="002067FF"/>
    <w:rsid w:val="0067463A"/>
    <w:rsid w:val="00854023"/>
    <w:rsid w:val="009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A0EE1"/>
    <w:pPr>
      <w:ind w:left="720"/>
      <w:contextualSpacing/>
    </w:pPr>
  </w:style>
  <w:style w:type="paragraph" w:customStyle="1" w:styleId="ConsPlusTitle">
    <w:name w:val="ConsPlusTitle"/>
    <w:rsid w:val="000A0E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0A0EE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2019-10-09T02:56:00Z</cp:lastPrinted>
  <dcterms:created xsi:type="dcterms:W3CDTF">2019-10-09T03:06:00Z</dcterms:created>
  <dcterms:modified xsi:type="dcterms:W3CDTF">2019-10-09T03:06:00Z</dcterms:modified>
</cp:coreProperties>
</file>