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66" w:rsidRPr="00AB7066" w:rsidRDefault="00AB7066" w:rsidP="00AB7066">
      <w:pPr>
        <w:pBdr>
          <w:bottom w:val="single" w:sz="18" w:space="0" w:color="C4D3EB"/>
        </w:pBdr>
        <w:spacing w:after="525" w:line="312" w:lineRule="atLeast"/>
        <w:ind w:left="420" w:right="300"/>
        <w:textAlignment w:val="baseline"/>
        <w:outlineLvl w:val="0"/>
        <w:rPr>
          <w:rFonts w:ascii="Georgia" w:eastAsia="Times New Roman" w:hAnsi="Georgia" w:cs="Times New Roman"/>
          <w:color w:val="B81212"/>
          <w:kern w:val="36"/>
          <w:sz w:val="44"/>
          <w:szCs w:val="44"/>
          <w:lang w:eastAsia="ru-RU"/>
        </w:rPr>
      </w:pPr>
      <w:r w:rsidRPr="00AB7066">
        <w:rPr>
          <w:rFonts w:ascii="Georgia" w:eastAsia="Times New Roman" w:hAnsi="Georgia" w:cs="Times New Roman"/>
          <w:color w:val="B81212"/>
          <w:kern w:val="36"/>
          <w:sz w:val="44"/>
          <w:szCs w:val="44"/>
          <w:lang w:eastAsia="ru-RU"/>
        </w:rPr>
        <w:t>Фонд развития промышленности Забайкальского края (</w:t>
      </w:r>
      <w:proofErr w:type="spellStart"/>
      <w:r w:rsidRPr="00AB7066">
        <w:rPr>
          <w:rFonts w:ascii="Georgia" w:eastAsia="Times New Roman" w:hAnsi="Georgia" w:cs="Times New Roman"/>
          <w:color w:val="B81212"/>
          <w:kern w:val="36"/>
          <w:sz w:val="44"/>
          <w:szCs w:val="44"/>
          <w:lang w:eastAsia="ru-RU"/>
        </w:rPr>
        <w:t>микрокредитная</w:t>
      </w:r>
      <w:proofErr w:type="spellEnd"/>
      <w:r w:rsidRPr="00AB7066">
        <w:rPr>
          <w:rFonts w:ascii="Georgia" w:eastAsia="Times New Roman" w:hAnsi="Georgia" w:cs="Times New Roman"/>
          <w:color w:val="B81212"/>
          <w:kern w:val="36"/>
          <w:sz w:val="44"/>
          <w:szCs w:val="44"/>
          <w:lang w:eastAsia="ru-RU"/>
        </w:rPr>
        <w:t xml:space="preserve"> компания)</w:t>
      </w:r>
    </w:p>
    <w:p w:rsidR="00AB7066" w:rsidRPr="00AB7066" w:rsidRDefault="00AB7066" w:rsidP="00AB7066">
      <w:pPr>
        <w:spacing w:before="60" w:after="60" w:line="255" w:lineRule="atLeast"/>
        <w:textAlignment w:val="baseline"/>
        <w:rPr>
          <w:rFonts w:ascii="Times New Roman" w:eastAsia="Times New Roman" w:hAnsi="Times New Roman" w:cs="Times New Roman"/>
          <w:b/>
          <w:bCs/>
          <w:color w:val="4878B2"/>
          <w:sz w:val="20"/>
          <w:szCs w:val="20"/>
          <w:lang w:eastAsia="ru-RU"/>
        </w:rPr>
      </w:pPr>
      <w:r w:rsidRPr="00AB7066">
        <w:rPr>
          <w:rFonts w:ascii="Times New Roman" w:eastAsia="Times New Roman" w:hAnsi="Times New Roman" w:cs="Times New Roman"/>
          <w:b/>
          <w:bCs/>
          <w:color w:val="4878B2"/>
          <w:sz w:val="20"/>
          <w:szCs w:val="20"/>
          <w:lang w:eastAsia="ru-RU"/>
        </w:rPr>
        <w:t>Основной целью деятельности Фонда является создание финансовых, организационных и иных условий, направленных на развитие промышленного потенциала Забайкальского края.</w:t>
      </w:r>
    </w:p>
    <w:p w:rsidR="00AB7066" w:rsidRPr="00AB7066" w:rsidRDefault="00AB7066" w:rsidP="00AB7066">
      <w:pPr>
        <w:spacing w:before="60" w:after="6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xml:space="preserve">На сегодняшний день Фонд предоставляет субъектам, осуществляющим деятельность в сфере промышленности, займы на льготных условиях для финансирования проектов, нацеленных на развитие производственной деятельности в Забайкальском крае и </w:t>
      </w:r>
      <w:proofErr w:type="spellStart"/>
      <w:r w:rsidRPr="00AB7066">
        <w:rPr>
          <w:rFonts w:ascii="Times New Roman" w:eastAsia="Times New Roman" w:hAnsi="Times New Roman" w:cs="Times New Roman"/>
          <w:color w:val="464646"/>
          <w:sz w:val="20"/>
          <w:szCs w:val="20"/>
          <w:lang w:eastAsia="ru-RU"/>
        </w:rPr>
        <w:t>микрозаймы</w:t>
      </w:r>
      <w:proofErr w:type="spellEnd"/>
      <w:r w:rsidRPr="00AB7066">
        <w:rPr>
          <w:rFonts w:ascii="Times New Roman" w:eastAsia="Times New Roman" w:hAnsi="Times New Roman" w:cs="Times New Roman"/>
          <w:color w:val="464646"/>
          <w:sz w:val="20"/>
          <w:szCs w:val="20"/>
          <w:lang w:eastAsia="ru-RU"/>
        </w:rPr>
        <w:t xml:space="preserve"> субъектам малого и среднего предпринимательства за счет средств бюджетной субсидии.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u w:val="single"/>
          <w:bdr w:val="none" w:sz="0" w:space="0" w:color="auto" w:frame="1"/>
          <w:lang w:eastAsia="ru-RU"/>
        </w:rPr>
        <w:t>Программа «Совместные займы»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lang w:eastAsia="ru-RU"/>
        </w:rPr>
        <w:t>•</w:t>
      </w:r>
      <w:r w:rsidRPr="00AB7066">
        <w:rPr>
          <w:rFonts w:ascii="Times New Roman" w:eastAsia="Times New Roman" w:hAnsi="Times New Roman" w:cs="Times New Roman"/>
          <w:color w:val="464646"/>
          <w:sz w:val="20"/>
          <w:szCs w:val="20"/>
          <w:lang w:eastAsia="ru-RU"/>
        </w:rPr>
        <w:t xml:space="preserve"> общий бюджет проекта – не менее 40 </w:t>
      </w:r>
      <w:proofErr w:type="spellStart"/>
      <w:r w:rsidRPr="00AB7066">
        <w:rPr>
          <w:rFonts w:ascii="Times New Roman" w:eastAsia="Times New Roman" w:hAnsi="Times New Roman" w:cs="Times New Roman"/>
          <w:color w:val="464646"/>
          <w:sz w:val="20"/>
          <w:szCs w:val="20"/>
          <w:lang w:eastAsia="ru-RU"/>
        </w:rPr>
        <w:t>млн</w:t>
      </w:r>
      <w:proofErr w:type="gramStart"/>
      <w:r w:rsidRPr="00AB7066">
        <w:rPr>
          <w:rFonts w:ascii="Times New Roman" w:eastAsia="Times New Roman" w:hAnsi="Times New Roman" w:cs="Times New Roman"/>
          <w:color w:val="464646"/>
          <w:sz w:val="20"/>
          <w:szCs w:val="20"/>
          <w:lang w:eastAsia="ru-RU"/>
        </w:rPr>
        <w:t>.р</w:t>
      </w:r>
      <w:proofErr w:type="gramEnd"/>
      <w:r w:rsidRPr="00AB7066">
        <w:rPr>
          <w:rFonts w:ascii="Times New Roman" w:eastAsia="Times New Roman" w:hAnsi="Times New Roman" w:cs="Times New Roman"/>
          <w:color w:val="464646"/>
          <w:sz w:val="20"/>
          <w:szCs w:val="20"/>
          <w:lang w:eastAsia="ru-RU"/>
        </w:rPr>
        <w:t>уб</w:t>
      </w:r>
      <w:proofErr w:type="spellEnd"/>
      <w:r w:rsidRPr="00AB7066">
        <w:rPr>
          <w:rFonts w:ascii="Times New Roman" w:eastAsia="Times New Roman" w:hAnsi="Times New Roman" w:cs="Times New Roman"/>
          <w:color w:val="464646"/>
          <w:sz w:val="20"/>
          <w:szCs w:val="20"/>
          <w:lang w:eastAsia="ru-RU"/>
        </w:rPr>
        <w:t xml:space="preserve">. • суммарный объем займа Фондов – от 20 до 100 </w:t>
      </w:r>
      <w:proofErr w:type="spellStart"/>
      <w:r w:rsidRPr="00AB7066">
        <w:rPr>
          <w:rFonts w:ascii="Times New Roman" w:eastAsia="Times New Roman" w:hAnsi="Times New Roman" w:cs="Times New Roman"/>
          <w:color w:val="464646"/>
          <w:sz w:val="20"/>
          <w:szCs w:val="20"/>
          <w:lang w:eastAsia="ru-RU"/>
        </w:rPr>
        <w:t>млн.руб</w:t>
      </w:r>
      <w:proofErr w:type="spellEnd"/>
      <w:r w:rsidRPr="00AB7066">
        <w:rPr>
          <w:rFonts w:ascii="Times New Roman" w:eastAsia="Times New Roman" w:hAnsi="Times New Roman" w:cs="Times New Roman"/>
          <w:color w:val="464646"/>
          <w:sz w:val="20"/>
          <w:szCs w:val="20"/>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lang w:eastAsia="ru-RU"/>
        </w:rPr>
        <w:t>•</w:t>
      </w:r>
      <w:r w:rsidRPr="00AB7066">
        <w:rPr>
          <w:rFonts w:ascii="Times New Roman" w:eastAsia="Times New Roman" w:hAnsi="Times New Roman" w:cs="Times New Roman"/>
          <w:color w:val="464646"/>
          <w:sz w:val="20"/>
          <w:szCs w:val="20"/>
          <w:lang w:eastAsia="ru-RU"/>
        </w:rPr>
        <w:t> срок займа – не более 5 лет  </w:t>
      </w:r>
    </w:p>
    <w:p w:rsidR="00AB7066" w:rsidRPr="00AB7066" w:rsidRDefault="00AB7066" w:rsidP="00AB7066">
      <w:pPr>
        <w:spacing w:before="60" w:after="6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xml:space="preserve">• ставка – 5% </w:t>
      </w:r>
      <w:proofErr w:type="gramStart"/>
      <w:r w:rsidRPr="00AB7066">
        <w:rPr>
          <w:rFonts w:ascii="Times New Roman" w:eastAsia="Times New Roman" w:hAnsi="Times New Roman" w:cs="Times New Roman"/>
          <w:color w:val="464646"/>
          <w:sz w:val="20"/>
          <w:szCs w:val="20"/>
          <w:lang w:eastAsia="ru-RU"/>
        </w:rPr>
        <w:t>годовых</w:t>
      </w:r>
      <w:proofErr w:type="gramEnd"/>
      <w:r w:rsidRPr="00AB7066">
        <w:rPr>
          <w:rFonts w:ascii="Times New Roman" w:eastAsia="Times New Roman" w:hAnsi="Times New Roman" w:cs="Times New Roman"/>
          <w:color w:val="464646"/>
          <w:sz w:val="20"/>
          <w:szCs w:val="20"/>
          <w:lang w:eastAsia="ru-RU"/>
        </w:rPr>
        <w:t> базовая ставка,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3 % базовая ставка </w:t>
      </w:r>
      <w:proofErr w:type="gramStart"/>
      <w:r w:rsidRPr="00AB7066">
        <w:rPr>
          <w:rFonts w:ascii="Times New Roman" w:eastAsia="Times New Roman" w:hAnsi="Times New Roman" w:cs="Times New Roman"/>
          <w:color w:val="464646"/>
          <w:sz w:val="20"/>
          <w:szCs w:val="20"/>
          <w:bdr w:val="none" w:sz="0" w:space="0" w:color="auto" w:frame="1"/>
          <w:lang w:eastAsia="ru-RU"/>
        </w:rPr>
        <w:t>в первые</w:t>
      </w:r>
      <w:proofErr w:type="gramEnd"/>
      <w:r w:rsidRPr="00AB7066">
        <w:rPr>
          <w:rFonts w:ascii="Times New Roman" w:eastAsia="Times New Roman" w:hAnsi="Times New Roman" w:cs="Times New Roman"/>
          <w:color w:val="464646"/>
          <w:sz w:val="20"/>
          <w:szCs w:val="20"/>
          <w:bdr w:val="none" w:sz="0" w:space="0" w:color="auto" w:frame="1"/>
          <w:lang w:eastAsia="ru-RU"/>
        </w:rPr>
        <w:t xml:space="preserve"> 3 года при банковской гарантии;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lang w:eastAsia="ru-RU"/>
        </w:rPr>
        <w:t>               2%   от базовой ставки при покупке российского оборудования;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lang w:eastAsia="ru-RU"/>
        </w:rPr>
        <w:t>               1 % при экспорте ≥50% продукции от суммы займа в год.</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lang w:eastAsia="ru-RU"/>
        </w:rPr>
        <w:t>•</w:t>
      </w:r>
      <w:r w:rsidRPr="00AB7066">
        <w:rPr>
          <w:rFonts w:ascii="Times New Roman" w:eastAsia="Times New Roman" w:hAnsi="Times New Roman" w:cs="Times New Roman"/>
          <w:color w:val="464646"/>
          <w:sz w:val="20"/>
          <w:szCs w:val="20"/>
          <w:lang w:eastAsia="ru-RU"/>
        </w:rPr>
        <w:t> софинансирование проекта со стороны Заявителя, частных инвесторов или за счет банковских кредитов в объеме не менее 50% общего бюджета проекта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целевой объем продаж новой продукции – не менее 50% от суммы займа в год, начиная со 2 года серийного производства</w:t>
      </w:r>
      <w:proofErr w:type="gramStart"/>
      <w:r w:rsidRPr="00AB7066">
        <w:rPr>
          <w:rFonts w:ascii="Times New Roman" w:eastAsia="Times New Roman" w:hAnsi="Times New Roman" w:cs="Times New Roman"/>
          <w:color w:val="464646"/>
          <w:sz w:val="20"/>
          <w:szCs w:val="20"/>
          <w:bdr w:val="none" w:sz="0" w:space="0" w:color="auto" w:frame="1"/>
          <w:lang w:eastAsia="ru-RU"/>
        </w:rPr>
        <w:t xml:space="preserve"> Н</w:t>
      </w:r>
      <w:proofErr w:type="gramEnd"/>
      <w:r w:rsidRPr="00AB7066">
        <w:rPr>
          <w:rFonts w:ascii="Times New Roman" w:eastAsia="Times New Roman" w:hAnsi="Times New Roman" w:cs="Times New Roman"/>
          <w:color w:val="464646"/>
          <w:sz w:val="20"/>
          <w:szCs w:val="20"/>
          <w:bdr w:val="none" w:sz="0" w:space="0" w:color="auto" w:frame="1"/>
          <w:lang w:eastAsia="ru-RU"/>
        </w:rPr>
        <w:t>е менее 15% суммы займа финансируется за счет собственных средств Заявителя.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При расчете </w:t>
      </w:r>
      <w:proofErr w:type="spellStart"/>
      <w:r w:rsidRPr="00AB7066">
        <w:rPr>
          <w:rFonts w:ascii="Times New Roman" w:eastAsia="Times New Roman" w:hAnsi="Times New Roman" w:cs="Times New Roman"/>
          <w:color w:val="464646"/>
          <w:sz w:val="20"/>
          <w:szCs w:val="20"/>
          <w:bdr w:val="none" w:sz="0" w:space="0" w:color="auto" w:frame="1"/>
          <w:lang w:eastAsia="ru-RU"/>
        </w:rPr>
        <w:t>софинансирования</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проекта: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учитываются инвестиции, осуществленные в проект не ранее 2 лет, предшествующих дате подачи заявки;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не учитываются инвестиции, выделенные напрямую для поддержки проектов из бюджета (субсидии и т.п.);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не учитываются доходы, генерируемые проектом </w:t>
      </w:r>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t xml:space="preserve">ЗАЕМНЫЕ СРЕДСТВА МОГУТ БЫТЬ ИСПОЛЬЗОВАНЫ </w:t>
      </w:r>
      <w:proofErr w:type="gramStart"/>
      <w:r w:rsidRPr="00AB7066">
        <w:rPr>
          <w:rFonts w:ascii="Times New Roman" w:eastAsia="Times New Roman" w:hAnsi="Times New Roman" w:cs="Times New Roman"/>
          <w:sz w:val="20"/>
          <w:szCs w:val="20"/>
          <w:bdr w:val="none" w:sz="0" w:space="0" w:color="auto" w:frame="1"/>
          <w:lang w:eastAsia="ru-RU"/>
        </w:rPr>
        <w:t>НА</w:t>
      </w:r>
      <w:proofErr w:type="gramEnd"/>
      <w:r w:rsidRPr="00AB7066">
        <w:rPr>
          <w:rFonts w:ascii="Times New Roman" w:eastAsia="Times New Roman" w:hAnsi="Times New Roman" w:cs="Times New Roman"/>
          <w:sz w:val="20"/>
          <w:szCs w:val="20"/>
          <w:bdr w:val="none" w:sz="0" w:space="0" w:color="auto" w:frame="1"/>
          <w:lang w:eastAsia="ru-RU"/>
        </w:rPr>
        <w:t>:</w:t>
      </w:r>
      <w:r w:rsidRPr="00AB7066">
        <w:rPr>
          <w:rFonts w:ascii="Times New Roman" w:eastAsia="Times New Roman" w:hAnsi="Times New Roman" w:cs="Times New Roman"/>
          <w:sz w:val="20"/>
          <w:szCs w:val="20"/>
          <w:bdr w:val="none" w:sz="0" w:space="0" w:color="auto" w:frame="1"/>
          <w:lang w:eastAsia="ru-RU"/>
        </w:rPr>
        <w:br/>
      </w:r>
      <w:r w:rsidRPr="00AB7066">
        <w:rPr>
          <w:rFonts w:ascii="Times New Roman" w:eastAsia="Times New Roman" w:hAnsi="Times New Roman" w:cs="Times New Roman"/>
          <w:sz w:val="20"/>
          <w:szCs w:val="20"/>
          <w:bdr w:val="none" w:sz="0" w:space="0" w:color="auto" w:frame="1"/>
          <w:lang w:eastAsia="ru-RU"/>
        </w:rPr>
        <w:br/>
      </w:r>
      <w:r w:rsidRPr="00AB7066">
        <w:rPr>
          <w:rFonts w:ascii="Times New Roman" w:eastAsia="Times New Roman" w:hAnsi="Times New Roman" w:cs="Times New Roman"/>
          <w:sz w:val="20"/>
          <w:szCs w:val="20"/>
          <w:bdr w:val="none" w:sz="0" w:space="0" w:color="auto" w:frame="1"/>
          <w:lang w:eastAsia="ru-RU"/>
        </w:rPr>
        <w:br/>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приобретение и создание оборудования;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разработку нового продукта/технологии;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разработку технико-экономического обоснования;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инжиниринговые услуги;</w:t>
      </w:r>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t>• приобретение прав на результаты интеллектуальной собственности;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общехозяйственные расходы в рамках проекта (не более 15% суммы займа). </w:t>
      </w:r>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br/>
        <w:t> Дополнительно с информацией можно ознакомиться на сайте: </w:t>
      </w:r>
      <w:hyperlink r:id="rId5" w:history="1">
        <w:r w:rsidRPr="00AB7066">
          <w:rPr>
            <w:rFonts w:ascii="Times New Roman" w:eastAsia="Times New Roman" w:hAnsi="Times New Roman" w:cs="Times New Roman"/>
            <w:color w:val="14A8F5"/>
            <w:sz w:val="20"/>
            <w:szCs w:val="20"/>
            <w:bdr w:val="none" w:sz="0" w:space="0" w:color="auto" w:frame="1"/>
            <w:lang w:eastAsia="ru-RU"/>
          </w:rPr>
          <w:t>https://www.frp75.ru/proekty-razvitiya</w:t>
        </w:r>
      </w:hyperlink>
      <w:r w:rsidRPr="00AB7066">
        <w:rPr>
          <w:rFonts w:ascii="Times New Roman" w:eastAsia="Times New Roman" w:hAnsi="Times New Roman" w:cs="Times New Roman"/>
          <w:sz w:val="20"/>
          <w:szCs w:val="20"/>
          <w:bdr w:val="none" w:sz="0" w:space="0" w:color="auto" w:frame="1"/>
          <w:lang w:eastAsia="ru-RU"/>
        </w:rPr>
        <w:br/>
      </w:r>
      <w:r w:rsidRPr="00AB7066">
        <w:rPr>
          <w:rFonts w:ascii="Times New Roman" w:eastAsia="Times New Roman" w:hAnsi="Times New Roman" w:cs="Times New Roman"/>
          <w:sz w:val="20"/>
          <w:szCs w:val="20"/>
          <w:bdr w:val="none" w:sz="0" w:space="0" w:color="auto" w:frame="1"/>
          <w:lang w:eastAsia="ru-RU"/>
        </w:rPr>
        <w:br/>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b/>
          <w:bCs/>
          <w:color w:val="464646"/>
          <w:sz w:val="20"/>
          <w:szCs w:val="20"/>
          <w:u w:val="single"/>
          <w:bdr w:val="none" w:sz="0" w:space="0" w:color="auto" w:frame="1"/>
          <w:lang w:eastAsia="ru-RU"/>
        </w:rPr>
        <w:t>Программа «Комплектующие изделия»</w:t>
      </w:r>
      <w:r w:rsidRPr="00AB7066">
        <w:rPr>
          <w:rFonts w:ascii="Times New Roman" w:eastAsia="Times New Roman" w:hAnsi="Times New Roman" w:cs="Times New Roman"/>
          <w:color w:val="464646"/>
          <w:sz w:val="20"/>
          <w:szCs w:val="20"/>
          <w:u w:val="single"/>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общий бюджет проекта – не менее 25 </w:t>
      </w:r>
      <w:proofErr w:type="spellStart"/>
      <w:r w:rsidRPr="00AB7066">
        <w:rPr>
          <w:rFonts w:ascii="Times New Roman" w:eastAsia="Times New Roman" w:hAnsi="Times New Roman" w:cs="Times New Roman"/>
          <w:color w:val="464646"/>
          <w:sz w:val="20"/>
          <w:szCs w:val="20"/>
          <w:bdr w:val="none" w:sz="0" w:space="0" w:color="auto" w:frame="1"/>
          <w:lang w:eastAsia="ru-RU"/>
        </w:rPr>
        <w:t>млн</w:t>
      </w:r>
      <w:proofErr w:type="gramStart"/>
      <w:r w:rsidRPr="00AB7066">
        <w:rPr>
          <w:rFonts w:ascii="Times New Roman" w:eastAsia="Times New Roman" w:hAnsi="Times New Roman" w:cs="Times New Roman"/>
          <w:color w:val="464646"/>
          <w:sz w:val="20"/>
          <w:szCs w:val="20"/>
          <w:bdr w:val="none" w:sz="0" w:space="0" w:color="auto" w:frame="1"/>
          <w:lang w:eastAsia="ru-RU"/>
        </w:rPr>
        <w:t>.р</w:t>
      </w:r>
      <w:proofErr w:type="gramEnd"/>
      <w:r w:rsidRPr="00AB7066">
        <w:rPr>
          <w:rFonts w:ascii="Times New Roman" w:eastAsia="Times New Roman" w:hAnsi="Times New Roman" w:cs="Times New Roman"/>
          <w:color w:val="464646"/>
          <w:sz w:val="20"/>
          <w:szCs w:val="20"/>
          <w:bdr w:val="none" w:sz="0" w:space="0" w:color="auto" w:frame="1"/>
          <w:lang w:eastAsia="ru-RU"/>
        </w:rPr>
        <w:t>уб</w:t>
      </w:r>
      <w:proofErr w:type="spellEnd"/>
      <w:r w:rsidRPr="00AB7066">
        <w:rPr>
          <w:rFonts w:ascii="Times New Roman" w:eastAsia="Times New Roman" w:hAnsi="Times New Roman" w:cs="Times New Roman"/>
          <w:color w:val="464646"/>
          <w:sz w:val="20"/>
          <w:szCs w:val="20"/>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суммарный объем займа Фондов – от 20 до 100 </w:t>
      </w:r>
      <w:proofErr w:type="spellStart"/>
      <w:r w:rsidRPr="00AB7066">
        <w:rPr>
          <w:rFonts w:ascii="Times New Roman" w:eastAsia="Times New Roman" w:hAnsi="Times New Roman" w:cs="Times New Roman"/>
          <w:color w:val="464646"/>
          <w:sz w:val="20"/>
          <w:szCs w:val="20"/>
          <w:bdr w:val="none" w:sz="0" w:space="0" w:color="auto" w:frame="1"/>
          <w:lang w:eastAsia="ru-RU"/>
        </w:rPr>
        <w:t>млн</w:t>
      </w:r>
      <w:proofErr w:type="gramStart"/>
      <w:r w:rsidRPr="00AB7066">
        <w:rPr>
          <w:rFonts w:ascii="Times New Roman" w:eastAsia="Times New Roman" w:hAnsi="Times New Roman" w:cs="Times New Roman"/>
          <w:color w:val="464646"/>
          <w:sz w:val="20"/>
          <w:szCs w:val="20"/>
          <w:bdr w:val="none" w:sz="0" w:space="0" w:color="auto" w:frame="1"/>
          <w:lang w:eastAsia="ru-RU"/>
        </w:rPr>
        <w:t>.р</w:t>
      </w:r>
      <w:proofErr w:type="gramEnd"/>
      <w:r w:rsidRPr="00AB7066">
        <w:rPr>
          <w:rFonts w:ascii="Times New Roman" w:eastAsia="Times New Roman" w:hAnsi="Times New Roman" w:cs="Times New Roman"/>
          <w:color w:val="464646"/>
          <w:sz w:val="20"/>
          <w:szCs w:val="20"/>
          <w:bdr w:val="none" w:sz="0" w:space="0" w:color="auto" w:frame="1"/>
          <w:lang w:eastAsia="ru-RU"/>
        </w:rPr>
        <w:t>уб</w:t>
      </w:r>
      <w:proofErr w:type="spellEnd"/>
      <w:r w:rsidRPr="00AB7066">
        <w:rPr>
          <w:rFonts w:ascii="Times New Roman" w:eastAsia="Times New Roman" w:hAnsi="Times New Roman" w:cs="Times New Roman"/>
          <w:color w:val="464646"/>
          <w:sz w:val="20"/>
          <w:szCs w:val="20"/>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срок займа – не более 5 лет </w:t>
      </w:r>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t xml:space="preserve">• ставка – 1 % </w:t>
      </w:r>
      <w:proofErr w:type="gramStart"/>
      <w:r w:rsidRPr="00AB7066">
        <w:rPr>
          <w:rFonts w:ascii="Times New Roman" w:eastAsia="Times New Roman" w:hAnsi="Times New Roman" w:cs="Times New Roman"/>
          <w:sz w:val="20"/>
          <w:szCs w:val="20"/>
          <w:bdr w:val="none" w:sz="0" w:space="0" w:color="auto" w:frame="1"/>
          <w:lang w:eastAsia="ru-RU"/>
        </w:rPr>
        <w:t>в первые</w:t>
      </w:r>
      <w:proofErr w:type="gramEnd"/>
      <w:r w:rsidRPr="00AB7066">
        <w:rPr>
          <w:rFonts w:ascii="Times New Roman" w:eastAsia="Times New Roman" w:hAnsi="Times New Roman" w:cs="Times New Roman"/>
          <w:sz w:val="20"/>
          <w:szCs w:val="20"/>
          <w:bdr w:val="none" w:sz="0" w:space="0" w:color="auto" w:frame="1"/>
          <w:lang w:eastAsia="ru-RU"/>
        </w:rPr>
        <w:t xml:space="preserve"> 3 года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5% на оставшийся срок</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софинансирование проекта со стороны Заявителя, частных инвесторов или за счет банковских кредитов в объеме не менее 20% общего бюджета проекта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целевой объем продаж новой продукции – не менее 30% от суммы займа в год, начиная со 2 года серийного производства: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учитываются инвестиции, осуществленные в проект не ранее 2 лет, предшествующих дате подачи заявки;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lastRenderedPageBreak/>
        <w:t>• не учитываются инвестиции, выделенные напрямую для поддержки проектов из бюджета (субсидии и т.п.);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не учитываются </w:t>
      </w:r>
      <w:proofErr w:type="spellStart"/>
      <w:r w:rsidRPr="00AB7066">
        <w:rPr>
          <w:rFonts w:ascii="Times New Roman" w:eastAsia="Times New Roman" w:hAnsi="Times New Roman" w:cs="Times New Roman"/>
          <w:color w:val="464646"/>
          <w:sz w:val="20"/>
          <w:szCs w:val="20"/>
          <w:bdr w:val="none" w:sz="0" w:space="0" w:color="auto" w:frame="1"/>
          <w:lang w:eastAsia="ru-RU"/>
        </w:rPr>
        <w:t>доходыв</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виде денежного потока, </w:t>
      </w:r>
      <w:proofErr w:type="gramStart"/>
      <w:r w:rsidRPr="00AB7066">
        <w:rPr>
          <w:rFonts w:ascii="Times New Roman" w:eastAsia="Times New Roman" w:hAnsi="Times New Roman" w:cs="Times New Roman"/>
          <w:color w:val="464646"/>
          <w:sz w:val="20"/>
          <w:szCs w:val="20"/>
          <w:bdr w:val="none" w:sz="0" w:space="0" w:color="auto" w:frame="1"/>
          <w:lang w:eastAsia="ru-RU"/>
        </w:rPr>
        <w:t>генерируемые</w:t>
      </w:r>
      <w:proofErr w:type="gramEnd"/>
      <w:r w:rsidRPr="00AB7066">
        <w:rPr>
          <w:rFonts w:ascii="Times New Roman" w:eastAsia="Times New Roman" w:hAnsi="Times New Roman" w:cs="Times New Roman"/>
          <w:color w:val="464646"/>
          <w:sz w:val="20"/>
          <w:szCs w:val="20"/>
          <w:bdr w:val="none" w:sz="0" w:space="0" w:color="auto" w:frame="1"/>
          <w:lang w:eastAsia="ru-RU"/>
        </w:rPr>
        <w:t xml:space="preserve"> проектом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ЗАЕМНЫЕ СРЕДСТВА МОГУТ БЫТЬ ИСПОЛЬЗОВАНЫ </w:t>
      </w:r>
      <w:proofErr w:type="gramStart"/>
      <w:r w:rsidRPr="00AB7066">
        <w:rPr>
          <w:rFonts w:ascii="Times New Roman" w:eastAsia="Times New Roman" w:hAnsi="Times New Roman" w:cs="Times New Roman"/>
          <w:color w:val="464646"/>
          <w:sz w:val="20"/>
          <w:szCs w:val="20"/>
          <w:bdr w:val="none" w:sz="0" w:space="0" w:color="auto" w:frame="1"/>
          <w:lang w:eastAsia="ru-RU"/>
        </w:rPr>
        <w:t>НА</w:t>
      </w:r>
      <w:proofErr w:type="gramEnd"/>
      <w:r w:rsidRPr="00AB7066">
        <w:rPr>
          <w:rFonts w:ascii="Times New Roman" w:eastAsia="Times New Roman" w:hAnsi="Times New Roman" w:cs="Times New Roman"/>
          <w:color w:val="464646"/>
          <w:sz w:val="20"/>
          <w:szCs w:val="20"/>
          <w:bdr w:val="none" w:sz="0" w:space="0" w:color="auto" w:frame="1"/>
          <w:lang w:eastAsia="ru-RU"/>
        </w:rPr>
        <w:t>:</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разработка нового продукта/технологии и подготовка его производства;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приобретение или использование специального оборудования для проведения необходимых опытно-конструкторских работ и отработки технологии;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разработка технико-экономического обоснования инвестиционной стадии проекта, </w:t>
      </w:r>
      <w:proofErr w:type="spellStart"/>
      <w:r w:rsidRPr="00AB7066">
        <w:rPr>
          <w:rFonts w:ascii="Times New Roman" w:eastAsia="Times New Roman" w:hAnsi="Times New Roman" w:cs="Times New Roman"/>
          <w:color w:val="464646"/>
          <w:sz w:val="20"/>
          <w:szCs w:val="20"/>
          <w:bdr w:val="none" w:sz="0" w:space="0" w:color="auto" w:frame="1"/>
          <w:lang w:eastAsia="ru-RU"/>
        </w:rPr>
        <w:t>прединвестиционный</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анализ и оптимизация проекта;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приобретение прав на результаты интеллектуальной деятельности;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инжиниринг;</w:t>
      </w:r>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t>•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расходы, связанные с производством и выводом на рынок пилотных партий продукции (в объеме до 50% от суммы займа)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Дополнительно с информацией можно ознакомиться на сайте: </w:t>
      </w:r>
      <w:hyperlink r:id="rId6" w:history="1">
        <w:r w:rsidRPr="00AB7066">
          <w:rPr>
            <w:rFonts w:ascii="Times New Roman" w:eastAsia="Times New Roman" w:hAnsi="Times New Roman" w:cs="Times New Roman"/>
            <w:color w:val="14A8F5"/>
            <w:sz w:val="20"/>
            <w:szCs w:val="20"/>
            <w:bdr w:val="none" w:sz="0" w:space="0" w:color="auto" w:frame="1"/>
            <w:lang w:eastAsia="ru-RU"/>
          </w:rPr>
          <w:t>https://www.frp75.ru/kopiya-sovmestnye-zajmy</w:t>
        </w:r>
      </w:hyperlink>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b/>
          <w:bCs/>
          <w:color w:val="464646"/>
          <w:sz w:val="20"/>
          <w:szCs w:val="20"/>
          <w:u w:val="single"/>
          <w:bdr w:val="none" w:sz="0" w:space="0" w:color="auto" w:frame="1"/>
          <w:lang w:eastAsia="ru-RU"/>
        </w:rPr>
        <w:t>Программа «Региональные займы»</w:t>
      </w:r>
      <w:r w:rsidRPr="00AB7066">
        <w:rPr>
          <w:rFonts w:ascii="Times New Roman" w:eastAsia="Times New Roman" w:hAnsi="Times New Roman" w:cs="Times New Roman"/>
          <w:b/>
          <w:bCs/>
          <w:color w:val="464646"/>
          <w:sz w:val="20"/>
          <w:szCs w:val="20"/>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сумма займа – от 5 до 20 </w:t>
      </w:r>
      <w:proofErr w:type="spellStart"/>
      <w:r w:rsidRPr="00AB7066">
        <w:rPr>
          <w:rFonts w:ascii="Times New Roman" w:eastAsia="Times New Roman" w:hAnsi="Times New Roman" w:cs="Times New Roman"/>
          <w:color w:val="464646"/>
          <w:sz w:val="20"/>
          <w:szCs w:val="20"/>
          <w:bdr w:val="none" w:sz="0" w:space="0" w:color="auto" w:frame="1"/>
          <w:lang w:eastAsia="ru-RU"/>
        </w:rPr>
        <w:t>млн</w:t>
      </w:r>
      <w:proofErr w:type="gramStart"/>
      <w:r w:rsidRPr="00AB7066">
        <w:rPr>
          <w:rFonts w:ascii="Times New Roman" w:eastAsia="Times New Roman" w:hAnsi="Times New Roman" w:cs="Times New Roman"/>
          <w:color w:val="464646"/>
          <w:sz w:val="20"/>
          <w:szCs w:val="20"/>
          <w:bdr w:val="none" w:sz="0" w:space="0" w:color="auto" w:frame="1"/>
          <w:lang w:eastAsia="ru-RU"/>
        </w:rPr>
        <w:t>.р</w:t>
      </w:r>
      <w:proofErr w:type="gramEnd"/>
      <w:r w:rsidRPr="00AB7066">
        <w:rPr>
          <w:rFonts w:ascii="Times New Roman" w:eastAsia="Times New Roman" w:hAnsi="Times New Roman" w:cs="Times New Roman"/>
          <w:color w:val="464646"/>
          <w:sz w:val="20"/>
          <w:szCs w:val="20"/>
          <w:bdr w:val="none" w:sz="0" w:space="0" w:color="auto" w:frame="1"/>
          <w:lang w:eastAsia="ru-RU"/>
        </w:rPr>
        <w:t>уб</w:t>
      </w:r>
      <w:proofErr w:type="spellEnd"/>
      <w:r w:rsidRPr="00AB7066">
        <w:rPr>
          <w:rFonts w:ascii="Times New Roman" w:eastAsia="Times New Roman" w:hAnsi="Times New Roman" w:cs="Times New Roman"/>
          <w:color w:val="464646"/>
          <w:sz w:val="20"/>
          <w:szCs w:val="20"/>
          <w:bdr w:val="none" w:sz="0" w:space="0" w:color="auto" w:frame="1"/>
          <w:lang w:eastAsia="ru-RU"/>
        </w:rPr>
        <w:t>.</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срок займа – не более 5 лет</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ставка – 3% годовых при банковской гарантии,5 % годовых при других видах обеспечения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обеспечение: залог/гарантия/поручительство</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общий бюджет инвестиционного проекта составляет не менее 6 </w:t>
      </w:r>
      <w:proofErr w:type="spellStart"/>
      <w:r w:rsidRPr="00AB7066">
        <w:rPr>
          <w:rFonts w:ascii="Times New Roman" w:eastAsia="Times New Roman" w:hAnsi="Times New Roman" w:cs="Times New Roman"/>
          <w:color w:val="464646"/>
          <w:sz w:val="20"/>
          <w:szCs w:val="20"/>
          <w:bdr w:val="none" w:sz="0" w:space="0" w:color="auto" w:frame="1"/>
          <w:lang w:eastAsia="ru-RU"/>
        </w:rPr>
        <w:t>млн</w:t>
      </w:r>
      <w:proofErr w:type="gramStart"/>
      <w:r w:rsidRPr="00AB7066">
        <w:rPr>
          <w:rFonts w:ascii="Times New Roman" w:eastAsia="Times New Roman" w:hAnsi="Times New Roman" w:cs="Times New Roman"/>
          <w:color w:val="464646"/>
          <w:sz w:val="20"/>
          <w:szCs w:val="20"/>
          <w:bdr w:val="none" w:sz="0" w:space="0" w:color="auto" w:frame="1"/>
          <w:lang w:eastAsia="ru-RU"/>
        </w:rPr>
        <w:t>.р</w:t>
      </w:r>
      <w:proofErr w:type="gramEnd"/>
      <w:r w:rsidRPr="00AB7066">
        <w:rPr>
          <w:rFonts w:ascii="Times New Roman" w:eastAsia="Times New Roman" w:hAnsi="Times New Roman" w:cs="Times New Roman"/>
          <w:color w:val="464646"/>
          <w:sz w:val="20"/>
          <w:szCs w:val="20"/>
          <w:bdr w:val="none" w:sz="0" w:space="0" w:color="auto" w:frame="1"/>
          <w:lang w:eastAsia="ru-RU"/>
        </w:rPr>
        <w:t>уб</w:t>
      </w:r>
      <w:proofErr w:type="spellEnd"/>
      <w:r w:rsidRPr="00AB7066">
        <w:rPr>
          <w:rFonts w:ascii="Times New Roman" w:eastAsia="Times New Roman" w:hAnsi="Times New Roman" w:cs="Times New Roman"/>
          <w:color w:val="464646"/>
          <w:sz w:val="20"/>
          <w:szCs w:val="20"/>
          <w:bdr w:val="none" w:sz="0" w:space="0" w:color="auto" w:frame="1"/>
          <w:lang w:eastAsia="ru-RU"/>
        </w:rPr>
        <w:t>;</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софинансирование проекта со стороны Заявителя, частных инвесторов, банков в объеме не менее 15 % общего бюджета проекта.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софинансирование за счет собственных средств Заявителя в размере не менее 10% от суммы займа должно быть осуществлено в следующий период: не ранее 3 лет до даты подачи Заявки и не позднее 12 месяцев </w:t>
      </w:r>
      <w:proofErr w:type="gramStart"/>
      <w:r w:rsidRPr="00AB7066">
        <w:rPr>
          <w:rFonts w:ascii="Times New Roman" w:eastAsia="Times New Roman" w:hAnsi="Times New Roman" w:cs="Times New Roman"/>
          <w:color w:val="464646"/>
          <w:sz w:val="20"/>
          <w:szCs w:val="20"/>
          <w:bdr w:val="none" w:sz="0" w:space="0" w:color="auto" w:frame="1"/>
          <w:lang w:eastAsia="ru-RU"/>
        </w:rPr>
        <w:t>с даты заключения</w:t>
      </w:r>
      <w:proofErr w:type="gramEnd"/>
      <w:r w:rsidRPr="00AB7066">
        <w:rPr>
          <w:rFonts w:ascii="Times New Roman" w:eastAsia="Times New Roman" w:hAnsi="Times New Roman" w:cs="Times New Roman"/>
          <w:color w:val="464646"/>
          <w:sz w:val="20"/>
          <w:szCs w:val="20"/>
          <w:bdr w:val="none" w:sz="0" w:space="0" w:color="auto" w:frame="1"/>
          <w:lang w:eastAsia="ru-RU"/>
        </w:rPr>
        <w:t xml:space="preserve"> договора Займа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ЗАЕМНЫЕ СРЕДСТВА МОГУТ БЫТЬ ИСПОЛЬЗОВАНЫ </w:t>
      </w:r>
      <w:proofErr w:type="gramStart"/>
      <w:r w:rsidRPr="00AB7066">
        <w:rPr>
          <w:rFonts w:ascii="Times New Roman" w:eastAsia="Times New Roman" w:hAnsi="Times New Roman" w:cs="Times New Roman"/>
          <w:color w:val="464646"/>
          <w:sz w:val="20"/>
          <w:szCs w:val="20"/>
          <w:bdr w:val="none" w:sz="0" w:space="0" w:color="auto" w:frame="1"/>
          <w:lang w:eastAsia="ru-RU"/>
        </w:rPr>
        <w:t>НА</w:t>
      </w:r>
      <w:proofErr w:type="gramEnd"/>
      <w:r w:rsidRPr="00AB7066">
        <w:rPr>
          <w:rFonts w:ascii="Times New Roman" w:eastAsia="Times New Roman" w:hAnsi="Times New Roman" w:cs="Times New Roman"/>
          <w:color w:val="464646"/>
          <w:sz w:val="20"/>
          <w:szCs w:val="20"/>
          <w:bdr w:val="none" w:sz="0" w:space="0" w:color="auto" w:frame="1"/>
          <w:lang w:eastAsia="ru-RU"/>
        </w:rPr>
        <w:t>:</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приобретение/ремонт/реконструкция/модернизация объектов основных средств (объектов недвижимого имущества, машин, оборудования, вычислительной техники, программного обеспечения и т.п.);</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разработка нового продукта/технологии;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строительство объектов недвижимого имущества для последующего их использования в рамках реализации инвестиционного проекта;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финансирование затрат на подготовку проектно-сметной документации;</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финансирование затрат на осуществление комплекса маркетинговых мероприятий по выводу на рынок новых или значительно улучшенных товаров или услуг, проводимых предприятием в рамках и на цели реализации инвестиционного проекта;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подготовка кадров, проводимая в рамках и с целью реализации инвестиционного проекта;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пополнение оборотных средств, расходуемых на цели инвестиционного проекта, в том числе приобретение сырья и материалов до запуска серийного производства (не более 15%).;</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Дополнительно с информацией можно ознакомиться на сайте: </w:t>
      </w:r>
      <w:hyperlink r:id="rId7" w:history="1">
        <w:r w:rsidRPr="00AB7066">
          <w:rPr>
            <w:rFonts w:ascii="Times New Roman" w:eastAsia="Times New Roman" w:hAnsi="Times New Roman" w:cs="Times New Roman"/>
            <w:color w:val="14A8F5"/>
            <w:sz w:val="20"/>
            <w:szCs w:val="20"/>
            <w:bdr w:val="none" w:sz="0" w:space="0" w:color="auto" w:frame="1"/>
            <w:lang w:eastAsia="ru-RU"/>
          </w:rPr>
          <w:t>https://www.frp75.ru/regio</w:t>
        </w:r>
        <w:bookmarkStart w:id="0" w:name="_GoBack"/>
        <w:bookmarkEnd w:id="0"/>
        <w:r w:rsidRPr="00AB7066">
          <w:rPr>
            <w:rFonts w:ascii="Times New Roman" w:eastAsia="Times New Roman" w:hAnsi="Times New Roman" w:cs="Times New Roman"/>
            <w:color w:val="14A8F5"/>
            <w:sz w:val="20"/>
            <w:szCs w:val="20"/>
            <w:bdr w:val="none" w:sz="0" w:space="0" w:color="auto" w:frame="1"/>
            <w:lang w:eastAsia="ru-RU"/>
          </w:rPr>
          <w:t>n</w:t>
        </w:r>
        <w:r w:rsidRPr="00AB7066">
          <w:rPr>
            <w:rFonts w:ascii="Times New Roman" w:eastAsia="Times New Roman" w:hAnsi="Times New Roman" w:cs="Times New Roman"/>
            <w:color w:val="14A8F5"/>
            <w:sz w:val="20"/>
            <w:szCs w:val="20"/>
            <w:bdr w:val="none" w:sz="0" w:space="0" w:color="auto" w:frame="1"/>
            <w:lang w:eastAsia="ru-RU"/>
          </w:rPr>
          <w:t>alnye-zajmy</w:t>
        </w:r>
      </w:hyperlink>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b/>
          <w:bCs/>
          <w:color w:val="464646"/>
          <w:sz w:val="20"/>
          <w:szCs w:val="20"/>
          <w:bdr w:val="none" w:sz="0" w:space="0" w:color="auto" w:frame="1"/>
          <w:lang w:eastAsia="ru-RU"/>
        </w:rPr>
        <w:t>Программа «Производственные займы»</w:t>
      </w:r>
      <w:r w:rsidRPr="00AB7066">
        <w:rPr>
          <w:rFonts w:ascii="Times New Roman" w:eastAsia="Times New Roman" w:hAnsi="Times New Roman" w:cs="Times New Roman"/>
          <w:color w:val="464646"/>
          <w:sz w:val="20"/>
          <w:szCs w:val="20"/>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 сумма займа – от 5 до 20 </w:t>
      </w:r>
      <w:proofErr w:type="spellStart"/>
      <w:r w:rsidRPr="00AB7066">
        <w:rPr>
          <w:rFonts w:ascii="Times New Roman" w:eastAsia="Times New Roman" w:hAnsi="Times New Roman" w:cs="Times New Roman"/>
          <w:color w:val="464646"/>
          <w:sz w:val="20"/>
          <w:szCs w:val="20"/>
          <w:bdr w:val="none" w:sz="0" w:space="0" w:color="auto" w:frame="1"/>
          <w:lang w:eastAsia="ru-RU"/>
        </w:rPr>
        <w:t>млн</w:t>
      </w:r>
      <w:proofErr w:type="gramStart"/>
      <w:r w:rsidRPr="00AB7066">
        <w:rPr>
          <w:rFonts w:ascii="Times New Roman" w:eastAsia="Times New Roman" w:hAnsi="Times New Roman" w:cs="Times New Roman"/>
          <w:color w:val="464646"/>
          <w:sz w:val="20"/>
          <w:szCs w:val="20"/>
          <w:bdr w:val="none" w:sz="0" w:space="0" w:color="auto" w:frame="1"/>
          <w:lang w:eastAsia="ru-RU"/>
        </w:rPr>
        <w:t>.р</w:t>
      </w:r>
      <w:proofErr w:type="gramEnd"/>
      <w:r w:rsidRPr="00AB7066">
        <w:rPr>
          <w:rFonts w:ascii="Times New Roman" w:eastAsia="Times New Roman" w:hAnsi="Times New Roman" w:cs="Times New Roman"/>
          <w:color w:val="464646"/>
          <w:sz w:val="20"/>
          <w:szCs w:val="20"/>
          <w:bdr w:val="none" w:sz="0" w:space="0" w:color="auto" w:frame="1"/>
          <w:lang w:eastAsia="ru-RU"/>
        </w:rPr>
        <w:t>уб</w:t>
      </w:r>
      <w:proofErr w:type="spellEnd"/>
      <w:r w:rsidRPr="00AB7066">
        <w:rPr>
          <w:rFonts w:ascii="Times New Roman" w:eastAsia="Times New Roman" w:hAnsi="Times New Roman" w:cs="Times New Roman"/>
          <w:color w:val="464646"/>
          <w:sz w:val="20"/>
          <w:szCs w:val="20"/>
          <w:bdr w:val="none" w:sz="0" w:space="0" w:color="auto" w:frame="1"/>
          <w:lang w:eastAsia="ru-RU"/>
        </w:rPr>
        <w:t>.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срок займа – не более 3 лет </w:t>
      </w:r>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t>• ставка – 4% годовых при банковской гарантии, 6 % годовых при других видах обеспечения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обеспечение: залог/гарантия/поручительство</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xml:space="preserve">ЗАЕМНЫЕ СРЕДСТВА МОГУТ БЫТЬ ИСПОЛЬЗОВАНЫ </w:t>
      </w:r>
      <w:proofErr w:type="gramStart"/>
      <w:r w:rsidRPr="00AB7066">
        <w:rPr>
          <w:rFonts w:ascii="Times New Roman" w:eastAsia="Times New Roman" w:hAnsi="Times New Roman" w:cs="Times New Roman"/>
          <w:color w:val="464646"/>
          <w:sz w:val="20"/>
          <w:szCs w:val="20"/>
          <w:bdr w:val="none" w:sz="0" w:space="0" w:color="auto" w:frame="1"/>
          <w:lang w:eastAsia="ru-RU"/>
        </w:rPr>
        <w:t>НА</w:t>
      </w:r>
      <w:proofErr w:type="gramEnd"/>
      <w:r w:rsidRPr="00AB7066">
        <w:rPr>
          <w:rFonts w:ascii="Times New Roman" w:eastAsia="Times New Roman" w:hAnsi="Times New Roman" w:cs="Times New Roman"/>
          <w:color w:val="464646"/>
          <w:sz w:val="20"/>
          <w:szCs w:val="20"/>
          <w:bdr w:val="none" w:sz="0" w:space="0" w:color="auto" w:frame="1"/>
          <w:lang w:eastAsia="ru-RU"/>
        </w:rPr>
        <w:t>:</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proofErr w:type="gramStart"/>
      <w:r w:rsidRPr="00AB7066">
        <w:rPr>
          <w:rFonts w:ascii="Times New Roman" w:eastAsia="Times New Roman" w:hAnsi="Times New Roman" w:cs="Times New Roman"/>
          <w:color w:val="464646"/>
          <w:sz w:val="20"/>
          <w:szCs w:val="20"/>
          <w:bdr w:val="none" w:sz="0" w:space="0" w:color="auto" w:frame="1"/>
          <w:lang w:eastAsia="ru-RU"/>
        </w:rPr>
        <w:t>• Приобретение оборудования, не являющегося амортизируемым имуществом, приобретение сырья, комплектующих, расходных материалов, товарно-материальных ценностей, необходимых для производства, оснастку промышленного оборудования, инструменты, спецодежду;</w:t>
      </w:r>
      <w:proofErr w:type="gramEnd"/>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Общехозяйственные расходы по производству  - в объеме не более чем 10% от суммы займа: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 Расходы на рекламные мероприятия (рекламные мероприятия по продвижению продукции, обеспечения участия в рекламно-выставочных мероприятиях, включая проезд и проживание участников, регистрационный сбор, изготовление выставочных экспозиций, аренда выставочных площадей и т.п.)</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lastRenderedPageBreak/>
        <w:t xml:space="preserve">  - Расходы на уплату арендных платежей за используемое в производстве имущество (за исключением случаев, когда собственником имущества являются </w:t>
      </w:r>
      <w:proofErr w:type="spellStart"/>
      <w:r w:rsidRPr="00AB7066">
        <w:rPr>
          <w:rFonts w:ascii="Times New Roman" w:eastAsia="Times New Roman" w:hAnsi="Times New Roman" w:cs="Times New Roman"/>
          <w:color w:val="464646"/>
          <w:sz w:val="20"/>
          <w:szCs w:val="20"/>
          <w:bdr w:val="none" w:sz="0" w:space="0" w:color="auto" w:frame="1"/>
          <w:lang w:eastAsia="ru-RU"/>
        </w:rPr>
        <w:t>бенефициарные</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владельцы или аффилированные лица)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 Приобретение лицензий на программное обеспечение с целью обеспечение производственной деятельности предприятия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 Оплата обучения производственного персонала</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 Оплата коммунальных услуг (отопления, горячего и холодного водоснабжения и водоотведения, предоставления электроэнергии), потребленных на общехозяйственные нужды.</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 Дополнительно с информацией можно ознакомиться на сайте: </w:t>
      </w:r>
      <w:hyperlink r:id="rId8" w:history="1">
        <w:r w:rsidRPr="00AB7066">
          <w:rPr>
            <w:rFonts w:ascii="Times New Roman" w:eastAsia="Times New Roman" w:hAnsi="Times New Roman" w:cs="Times New Roman"/>
            <w:color w:val="14A8F5"/>
            <w:sz w:val="20"/>
            <w:szCs w:val="20"/>
            <w:bdr w:val="none" w:sz="0" w:space="0" w:color="auto" w:frame="1"/>
            <w:lang w:eastAsia="ru-RU"/>
          </w:rPr>
          <w:t>https://www.frp75.ru/proizvodstvennye-zajmy</w:t>
        </w:r>
      </w:hyperlink>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proofErr w:type="spellStart"/>
      <w:r w:rsidRPr="00AB7066">
        <w:rPr>
          <w:rFonts w:ascii="Times New Roman" w:eastAsia="Times New Roman" w:hAnsi="Times New Roman" w:cs="Times New Roman"/>
          <w:b/>
          <w:bCs/>
          <w:color w:val="464646"/>
          <w:sz w:val="20"/>
          <w:szCs w:val="20"/>
          <w:u w:val="single"/>
          <w:bdr w:val="none" w:sz="0" w:space="0" w:color="auto" w:frame="1"/>
          <w:lang w:eastAsia="ru-RU"/>
        </w:rPr>
        <w:t>Микрозаймы</w:t>
      </w:r>
      <w:proofErr w:type="spellEnd"/>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Фонд развития промышленности Забайкальского края (</w:t>
      </w:r>
      <w:proofErr w:type="spellStart"/>
      <w:r w:rsidRPr="00AB7066">
        <w:rPr>
          <w:rFonts w:ascii="Times New Roman" w:eastAsia="Times New Roman" w:hAnsi="Times New Roman" w:cs="Times New Roman"/>
          <w:color w:val="464646"/>
          <w:sz w:val="20"/>
          <w:szCs w:val="20"/>
          <w:bdr w:val="none" w:sz="0" w:space="0" w:color="auto" w:frame="1"/>
          <w:lang w:eastAsia="ru-RU"/>
        </w:rPr>
        <w:t>микрокредитная</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компания) предоставляет </w:t>
      </w:r>
      <w:proofErr w:type="spellStart"/>
      <w:r w:rsidRPr="00AB7066">
        <w:rPr>
          <w:rFonts w:ascii="Times New Roman" w:eastAsia="Times New Roman" w:hAnsi="Times New Roman" w:cs="Times New Roman"/>
          <w:color w:val="464646"/>
          <w:sz w:val="20"/>
          <w:szCs w:val="20"/>
          <w:bdr w:val="none" w:sz="0" w:space="0" w:color="auto" w:frame="1"/>
          <w:lang w:eastAsia="ru-RU"/>
        </w:rPr>
        <w:t>микрозаймы</w:t>
      </w:r>
      <w:proofErr w:type="spellEnd"/>
      <w:r w:rsidRPr="00AB7066">
        <w:rPr>
          <w:rFonts w:ascii="Times New Roman" w:eastAsia="Times New Roman" w:hAnsi="Times New Roman" w:cs="Times New Roman"/>
          <w:color w:val="464646"/>
          <w:sz w:val="20"/>
          <w:szCs w:val="20"/>
          <w:bdr w:val="none" w:sz="0" w:space="0" w:color="auto" w:frame="1"/>
          <w:lang w:eastAsia="ru-RU"/>
        </w:rPr>
        <w:t> начинающим и действующим индивидуальным предпринимателям и юридическим лицам, осуществляющим свою деятельность на территории Забайкальского края.</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p>
    <w:tbl>
      <w:tblPr>
        <w:tblW w:w="10125" w:type="dxa"/>
        <w:tblCellMar>
          <w:left w:w="0" w:type="dxa"/>
          <w:right w:w="0" w:type="dxa"/>
        </w:tblCellMar>
        <w:tblLook w:val="04A0" w:firstRow="1" w:lastRow="0" w:firstColumn="1" w:lastColumn="0" w:noHBand="0" w:noVBand="1"/>
      </w:tblPr>
      <w:tblGrid>
        <w:gridCol w:w="401"/>
        <w:gridCol w:w="1224"/>
        <w:gridCol w:w="2381"/>
        <w:gridCol w:w="1529"/>
        <w:gridCol w:w="1328"/>
        <w:gridCol w:w="968"/>
        <w:gridCol w:w="1274"/>
        <w:gridCol w:w="1020"/>
      </w:tblGrid>
      <w:tr w:rsidR="00AB7066" w:rsidRPr="00AB7066" w:rsidTr="00AB7066">
        <w:trPr>
          <w:trHeight w:val="273"/>
        </w:trPr>
        <w:tc>
          <w:tcPr>
            <w:tcW w:w="236" w:type="dxa"/>
            <w:vMerge w:val="restart"/>
            <w:tcBorders>
              <w:top w:val="single" w:sz="8" w:space="0" w:color="auto"/>
              <w:left w:val="single" w:sz="8" w:space="0" w:color="auto"/>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w:t>
            </w:r>
          </w:p>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w:t>
            </w:r>
          </w:p>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proofErr w:type="gramStart"/>
            <w:r w:rsidRPr="00AB7066">
              <w:rPr>
                <w:rFonts w:ascii="Times New Roman" w:eastAsia="Times New Roman" w:hAnsi="Times New Roman" w:cs="Times New Roman"/>
                <w:b/>
                <w:bCs/>
                <w:color w:val="464646"/>
                <w:sz w:val="20"/>
                <w:szCs w:val="20"/>
                <w:bdr w:val="none" w:sz="0" w:space="0" w:color="auto" w:frame="1"/>
                <w:lang w:eastAsia="ru-RU"/>
              </w:rPr>
              <w:t>п</w:t>
            </w:r>
            <w:proofErr w:type="gramEnd"/>
            <w:r w:rsidRPr="00AB7066">
              <w:rPr>
                <w:rFonts w:ascii="Times New Roman" w:eastAsia="Times New Roman" w:hAnsi="Times New Roman" w:cs="Times New Roman"/>
                <w:b/>
                <w:bCs/>
                <w:color w:val="464646"/>
                <w:sz w:val="20"/>
                <w:szCs w:val="20"/>
                <w:bdr w:val="none" w:sz="0" w:space="0" w:color="auto" w:frame="1"/>
                <w:lang w:eastAsia="ru-RU"/>
              </w:rPr>
              <w:t>/п</w:t>
            </w:r>
          </w:p>
        </w:tc>
        <w:tc>
          <w:tcPr>
            <w:tcW w:w="961" w:type="dxa"/>
            <w:vMerge w:val="restart"/>
            <w:tcBorders>
              <w:top w:val="single" w:sz="8" w:space="0" w:color="auto"/>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xml:space="preserve">Вид </w:t>
            </w:r>
            <w:proofErr w:type="spellStart"/>
            <w:r w:rsidRPr="00AB7066">
              <w:rPr>
                <w:rFonts w:ascii="Times New Roman" w:eastAsia="Times New Roman" w:hAnsi="Times New Roman" w:cs="Times New Roman"/>
                <w:b/>
                <w:bCs/>
                <w:color w:val="464646"/>
                <w:sz w:val="20"/>
                <w:szCs w:val="20"/>
                <w:bdr w:val="none" w:sz="0" w:space="0" w:color="auto" w:frame="1"/>
                <w:lang w:eastAsia="ru-RU"/>
              </w:rPr>
              <w:t>микрозайма</w:t>
            </w:r>
            <w:proofErr w:type="spellEnd"/>
          </w:p>
        </w:tc>
        <w:tc>
          <w:tcPr>
            <w:tcW w:w="2693" w:type="dxa"/>
            <w:vMerge w:val="restart"/>
            <w:tcBorders>
              <w:top w:val="single" w:sz="8" w:space="0" w:color="auto"/>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Категория СМП,</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xml:space="preserve"> в зависимости от вида деятельности по Общероссийскому классификатору видов экономической деятельности (ОКВЭД 2 </w:t>
            </w:r>
            <w:proofErr w:type="gramStart"/>
            <w:r w:rsidRPr="00AB7066">
              <w:rPr>
                <w:rFonts w:ascii="Times New Roman" w:eastAsia="Times New Roman" w:hAnsi="Times New Roman" w:cs="Times New Roman"/>
                <w:b/>
                <w:bCs/>
                <w:color w:val="464646"/>
                <w:sz w:val="20"/>
                <w:szCs w:val="20"/>
                <w:bdr w:val="none" w:sz="0" w:space="0" w:color="auto" w:frame="1"/>
                <w:lang w:eastAsia="ru-RU"/>
              </w:rPr>
              <w:t>ОК</w:t>
            </w:r>
            <w:proofErr w:type="gramEnd"/>
            <w:r w:rsidRPr="00AB7066">
              <w:rPr>
                <w:rFonts w:ascii="Times New Roman" w:eastAsia="Times New Roman" w:hAnsi="Times New Roman" w:cs="Times New Roman"/>
                <w:b/>
                <w:bCs/>
                <w:color w:val="464646"/>
                <w:sz w:val="20"/>
                <w:szCs w:val="20"/>
                <w:bdr w:val="none" w:sz="0" w:space="0" w:color="auto" w:frame="1"/>
                <w:lang w:eastAsia="ru-RU"/>
              </w:rPr>
              <w:t xml:space="preserve"> 029-2014) </w:t>
            </w:r>
            <w:r w:rsidRPr="00AB7066">
              <w:rPr>
                <w:rFonts w:ascii="Times New Roman" w:eastAsia="Times New Roman" w:hAnsi="Times New Roman" w:cs="Times New Roman"/>
                <w:b/>
                <w:bCs/>
                <w:color w:val="464646"/>
                <w:sz w:val="20"/>
                <w:szCs w:val="20"/>
                <w:bdr w:val="none" w:sz="0" w:space="0" w:color="auto" w:frame="1"/>
                <w:vertAlign w:val="superscript"/>
                <w:lang w:eastAsia="ru-RU"/>
              </w:rPr>
              <w:t>1</w:t>
            </w:r>
          </w:p>
        </w:tc>
        <w:tc>
          <w:tcPr>
            <w:tcW w:w="1985" w:type="dxa"/>
            <w:vMerge w:val="restart"/>
            <w:tcBorders>
              <w:top w:val="single" w:sz="8" w:space="0" w:color="auto"/>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Наличие бизнес-плана или ТЭО проекта</w:t>
            </w:r>
          </w:p>
        </w:tc>
        <w:tc>
          <w:tcPr>
            <w:tcW w:w="4252" w:type="dxa"/>
            <w:gridSpan w:val="4"/>
            <w:tcBorders>
              <w:top w:val="single" w:sz="8" w:space="0" w:color="auto"/>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Вид обеспечения</w:t>
            </w:r>
          </w:p>
        </w:tc>
      </w:tr>
      <w:tr w:rsidR="00AB7066" w:rsidRPr="00AB7066" w:rsidTr="00AB7066">
        <w:trPr>
          <w:trHeight w:val="344"/>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b/>
                <w:bCs/>
                <w:color w:val="464646"/>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color w:val="464646"/>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color w:val="464646"/>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color w:val="464646"/>
                <w:sz w:val="20"/>
                <w:szCs w:val="20"/>
                <w:lang w:eastAsia="ru-RU"/>
              </w:rPr>
            </w:pPr>
          </w:p>
        </w:tc>
        <w:tc>
          <w:tcPr>
            <w:tcW w:w="2693" w:type="dxa"/>
            <w:gridSpan w:val="2"/>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proofErr w:type="spellStart"/>
            <w:r w:rsidRPr="00AB7066">
              <w:rPr>
                <w:rFonts w:ascii="Times New Roman" w:eastAsia="Times New Roman" w:hAnsi="Times New Roman" w:cs="Times New Roman"/>
                <w:b/>
                <w:bCs/>
                <w:color w:val="464646"/>
                <w:sz w:val="20"/>
                <w:szCs w:val="20"/>
                <w:bdr w:val="none" w:sz="0" w:space="0" w:color="auto" w:frame="1"/>
                <w:lang w:eastAsia="ru-RU"/>
              </w:rPr>
              <w:t>Залог+Поручительство</w:t>
            </w:r>
            <w:proofErr w:type="spellEnd"/>
          </w:p>
        </w:tc>
        <w:tc>
          <w:tcPr>
            <w:tcW w:w="1559" w:type="dxa"/>
            <w:gridSpan w:val="2"/>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Поручительство</w:t>
            </w:r>
          </w:p>
        </w:tc>
      </w:tr>
      <w:tr w:rsidR="00AB7066" w:rsidRPr="00AB7066" w:rsidTr="00AB7066">
        <w:trPr>
          <w:trHeight w:val="9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b/>
                <w:bCs/>
                <w:color w:val="464646"/>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color w:val="464646"/>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color w:val="464646"/>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B7066" w:rsidRPr="00AB7066" w:rsidRDefault="00AB7066" w:rsidP="00AB7066">
            <w:pPr>
              <w:spacing w:after="0" w:line="240" w:lineRule="auto"/>
              <w:rPr>
                <w:rFonts w:ascii="Times New Roman" w:eastAsia="Times New Roman" w:hAnsi="Times New Roman" w:cs="Times New Roman"/>
                <w:color w:val="464646"/>
                <w:sz w:val="20"/>
                <w:szCs w:val="20"/>
                <w:lang w:eastAsia="ru-RU"/>
              </w:rPr>
            </w:pPr>
          </w:p>
        </w:tc>
        <w:tc>
          <w:tcPr>
            <w:tcW w:w="1701"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proofErr w:type="spellStart"/>
            <w:proofErr w:type="gramStart"/>
            <w:r w:rsidRPr="00AB7066">
              <w:rPr>
                <w:rFonts w:ascii="Times New Roman" w:eastAsia="Times New Roman" w:hAnsi="Times New Roman" w:cs="Times New Roman"/>
                <w:b/>
                <w:bCs/>
                <w:color w:val="464646"/>
                <w:sz w:val="20"/>
                <w:szCs w:val="20"/>
                <w:bdr w:val="none" w:sz="0" w:space="0" w:color="auto" w:frame="1"/>
                <w:lang w:eastAsia="ru-RU"/>
              </w:rPr>
              <w:t>Максималь-ный</w:t>
            </w:r>
            <w:proofErr w:type="spellEnd"/>
            <w:proofErr w:type="gramEnd"/>
            <w:r w:rsidRPr="00AB7066">
              <w:rPr>
                <w:rFonts w:ascii="Times New Roman" w:eastAsia="Times New Roman" w:hAnsi="Times New Roman" w:cs="Times New Roman"/>
                <w:b/>
                <w:bCs/>
                <w:color w:val="464646"/>
                <w:sz w:val="20"/>
                <w:szCs w:val="20"/>
                <w:bdr w:val="none" w:sz="0" w:space="0" w:color="auto" w:frame="1"/>
                <w:lang w:eastAsia="ru-RU"/>
              </w:rPr>
              <w:t xml:space="preserve"> размер </w:t>
            </w:r>
            <w:proofErr w:type="spellStart"/>
            <w:r w:rsidRPr="00AB7066">
              <w:rPr>
                <w:rFonts w:ascii="Times New Roman" w:eastAsia="Times New Roman" w:hAnsi="Times New Roman" w:cs="Times New Roman"/>
                <w:b/>
                <w:bCs/>
                <w:color w:val="464646"/>
                <w:sz w:val="20"/>
                <w:szCs w:val="20"/>
                <w:bdr w:val="none" w:sz="0" w:space="0" w:color="auto" w:frame="1"/>
                <w:lang w:eastAsia="ru-RU"/>
              </w:rPr>
              <w:t>микрозайма</w:t>
            </w:r>
            <w:proofErr w:type="spellEnd"/>
            <w:r w:rsidRPr="00AB7066">
              <w:rPr>
                <w:rFonts w:ascii="Times New Roman" w:eastAsia="Times New Roman" w:hAnsi="Times New Roman" w:cs="Times New Roman"/>
                <w:b/>
                <w:bCs/>
                <w:color w:val="464646"/>
                <w:sz w:val="20"/>
                <w:szCs w:val="20"/>
                <w:bdr w:val="none" w:sz="0" w:space="0" w:color="auto" w:frame="1"/>
                <w:lang w:eastAsia="ru-RU"/>
              </w:rPr>
              <w:t>, руб. </w:t>
            </w:r>
          </w:p>
        </w:tc>
        <w:tc>
          <w:tcPr>
            <w:tcW w:w="992"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Процент-</w:t>
            </w:r>
            <w:proofErr w:type="spellStart"/>
            <w:r w:rsidRPr="00AB7066">
              <w:rPr>
                <w:rFonts w:ascii="Times New Roman" w:eastAsia="Times New Roman" w:hAnsi="Times New Roman" w:cs="Times New Roman"/>
                <w:b/>
                <w:bCs/>
                <w:color w:val="464646"/>
                <w:sz w:val="20"/>
                <w:szCs w:val="20"/>
                <w:bdr w:val="none" w:sz="0" w:space="0" w:color="auto" w:frame="1"/>
                <w:lang w:eastAsia="ru-RU"/>
              </w:rPr>
              <w:t>ная</w:t>
            </w:r>
            <w:proofErr w:type="spellEnd"/>
            <w:r w:rsidRPr="00AB7066">
              <w:rPr>
                <w:rFonts w:ascii="Times New Roman" w:eastAsia="Times New Roman" w:hAnsi="Times New Roman" w:cs="Times New Roman"/>
                <w:b/>
                <w:bCs/>
                <w:color w:val="464646"/>
                <w:sz w:val="20"/>
                <w:szCs w:val="20"/>
                <w:bdr w:val="none" w:sz="0" w:space="0" w:color="auto" w:frame="1"/>
                <w:lang w:eastAsia="ru-RU"/>
              </w:rPr>
              <w:t xml:space="preserve"> ставка</w:t>
            </w:r>
            <w:proofErr w:type="gramStart"/>
            <w:r w:rsidRPr="00AB7066">
              <w:rPr>
                <w:rFonts w:ascii="Times New Roman" w:eastAsia="Times New Roman" w:hAnsi="Times New Roman" w:cs="Times New Roman"/>
                <w:b/>
                <w:bCs/>
                <w:color w:val="464646"/>
                <w:sz w:val="20"/>
                <w:szCs w:val="20"/>
                <w:bdr w:val="none" w:sz="0" w:space="0" w:color="auto" w:frame="1"/>
                <w:vertAlign w:val="superscript"/>
                <w:lang w:eastAsia="ru-RU"/>
              </w:rPr>
              <w:t>2</w:t>
            </w:r>
            <w:proofErr w:type="gramEnd"/>
            <w:r w:rsidRPr="00AB7066">
              <w:rPr>
                <w:rFonts w:ascii="Times New Roman" w:eastAsia="Times New Roman" w:hAnsi="Times New Roman" w:cs="Times New Roman"/>
                <w:b/>
                <w:bCs/>
                <w:color w:val="464646"/>
                <w:sz w:val="20"/>
                <w:szCs w:val="20"/>
                <w:bdr w:val="none" w:sz="0" w:space="0" w:color="auto" w:frame="1"/>
                <w:lang w:eastAsia="ru-RU"/>
              </w:rPr>
              <w:t>,</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годовых</w:t>
            </w:r>
          </w:p>
        </w:tc>
        <w:tc>
          <w:tcPr>
            <w:tcW w:w="850"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proofErr w:type="spellStart"/>
            <w:proofErr w:type="gramStart"/>
            <w:r w:rsidRPr="00AB7066">
              <w:rPr>
                <w:rFonts w:ascii="Times New Roman" w:eastAsia="Times New Roman" w:hAnsi="Times New Roman" w:cs="Times New Roman"/>
                <w:b/>
                <w:bCs/>
                <w:color w:val="464646"/>
                <w:sz w:val="20"/>
                <w:szCs w:val="20"/>
                <w:bdr w:val="none" w:sz="0" w:space="0" w:color="auto" w:frame="1"/>
                <w:lang w:eastAsia="ru-RU"/>
              </w:rPr>
              <w:t>Максималь-ный</w:t>
            </w:r>
            <w:proofErr w:type="spellEnd"/>
            <w:proofErr w:type="gramEnd"/>
            <w:r w:rsidRPr="00AB7066">
              <w:rPr>
                <w:rFonts w:ascii="Times New Roman" w:eastAsia="Times New Roman" w:hAnsi="Times New Roman" w:cs="Times New Roman"/>
                <w:b/>
                <w:bCs/>
                <w:color w:val="464646"/>
                <w:sz w:val="20"/>
                <w:szCs w:val="20"/>
                <w:bdr w:val="none" w:sz="0" w:space="0" w:color="auto" w:frame="1"/>
                <w:lang w:eastAsia="ru-RU"/>
              </w:rPr>
              <w:t xml:space="preserve"> размер </w:t>
            </w:r>
            <w:proofErr w:type="spellStart"/>
            <w:r w:rsidRPr="00AB7066">
              <w:rPr>
                <w:rFonts w:ascii="Times New Roman" w:eastAsia="Times New Roman" w:hAnsi="Times New Roman" w:cs="Times New Roman"/>
                <w:b/>
                <w:bCs/>
                <w:color w:val="464646"/>
                <w:sz w:val="20"/>
                <w:szCs w:val="20"/>
                <w:bdr w:val="none" w:sz="0" w:space="0" w:color="auto" w:frame="1"/>
                <w:lang w:eastAsia="ru-RU"/>
              </w:rPr>
              <w:t>микрозайма</w:t>
            </w:r>
            <w:proofErr w:type="spellEnd"/>
            <w:r w:rsidRPr="00AB7066">
              <w:rPr>
                <w:rFonts w:ascii="Times New Roman" w:eastAsia="Times New Roman" w:hAnsi="Times New Roman" w:cs="Times New Roman"/>
                <w:b/>
                <w:bCs/>
                <w:color w:val="464646"/>
                <w:sz w:val="20"/>
                <w:szCs w:val="20"/>
                <w:bdr w:val="none" w:sz="0" w:space="0" w:color="auto" w:frame="1"/>
                <w:lang w:eastAsia="ru-RU"/>
              </w:rPr>
              <w:t>, руб. </w:t>
            </w:r>
          </w:p>
        </w:tc>
        <w:tc>
          <w:tcPr>
            <w:tcW w:w="709"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Процент-</w:t>
            </w:r>
            <w:proofErr w:type="spellStart"/>
            <w:r w:rsidRPr="00AB7066">
              <w:rPr>
                <w:rFonts w:ascii="Times New Roman" w:eastAsia="Times New Roman" w:hAnsi="Times New Roman" w:cs="Times New Roman"/>
                <w:b/>
                <w:bCs/>
                <w:color w:val="464646"/>
                <w:sz w:val="20"/>
                <w:szCs w:val="20"/>
                <w:bdr w:val="none" w:sz="0" w:space="0" w:color="auto" w:frame="1"/>
                <w:lang w:eastAsia="ru-RU"/>
              </w:rPr>
              <w:t>ная</w:t>
            </w:r>
            <w:proofErr w:type="spellEnd"/>
            <w:r w:rsidRPr="00AB7066">
              <w:rPr>
                <w:rFonts w:ascii="Times New Roman" w:eastAsia="Times New Roman" w:hAnsi="Times New Roman" w:cs="Times New Roman"/>
                <w:b/>
                <w:bCs/>
                <w:color w:val="464646"/>
                <w:sz w:val="20"/>
                <w:szCs w:val="20"/>
                <w:bdr w:val="none" w:sz="0" w:space="0" w:color="auto" w:frame="1"/>
                <w:lang w:eastAsia="ru-RU"/>
              </w:rPr>
              <w:t xml:space="preserve"> ставка</w:t>
            </w:r>
            <w:proofErr w:type="gramStart"/>
            <w:r w:rsidRPr="00AB7066">
              <w:rPr>
                <w:rFonts w:ascii="Times New Roman" w:eastAsia="Times New Roman" w:hAnsi="Times New Roman" w:cs="Times New Roman"/>
                <w:b/>
                <w:bCs/>
                <w:color w:val="464646"/>
                <w:sz w:val="20"/>
                <w:szCs w:val="20"/>
                <w:bdr w:val="none" w:sz="0" w:space="0" w:color="auto" w:frame="1"/>
                <w:vertAlign w:val="superscript"/>
                <w:lang w:eastAsia="ru-RU"/>
              </w:rPr>
              <w:t>2</w:t>
            </w:r>
            <w:proofErr w:type="gramEnd"/>
            <w:r w:rsidRPr="00AB7066">
              <w:rPr>
                <w:rFonts w:ascii="Times New Roman" w:eastAsia="Times New Roman" w:hAnsi="Times New Roman" w:cs="Times New Roman"/>
                <w:b/>
                <w:bCs/>
                <w:color w:val="464646"/>
                <w:sz w:val="20"/>
                <w:szCs w:val="20"/>
                <w:bdr w:val="none" w:sz="0" w:space="0" w:color="auto" w:frame="1"/>
                <w:lang w:eastAsia="ru-RU"/>
              </w:rPr>
              <w:t>,</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 годовых</w:t>
            </w:r>
          </w:p>
        </w:tc>
      </w:tr>
      <w:tr w:rsidR="00AB7066" w:rsidRPr="00AB7066" w:rsidTr="00AB7066">
        <w:trPr>
          <w:trHeight w:val="1106"/>
        </w:trPr>
        <w:tc>
          <w:tcPr>
            <w:tcW w:w="236" w:type="dxa"/>
            <w:tcBorders>
              <w:top w:val="nil"/>
              <w:left w:val="single" w:sz="8" w:space="0" w:color="auto"/>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1</w:t>
            </w:r>
          </w:p>
        </w:tc>
        <w:tc>
          <w:tcPr>
            <w:tcW w:w="961"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proofErr w:type="gramStart"/>
            <w:r w:rsidRPr="00AB7066">
              <w:rPr>
                <w:rFonts w:ascii="Times New Roman" w:eastAsia="Times New Roman" w:hAnsi="Times New Roman" w:cs="Times New Roman"/>
                <w:b/>
                <w:bCs/>
                <w:color w:val="464646"/>
                <w:sz w:val="20"/>
                <w:szCs w:val="20"/>
                <w:bdr w:val="none" w:sz="0" w:space="0" w:color="auto" w:frame="1"/>
                <w:lang w:eastAsia="ru-RU"/>
              </w:rPr>
              <w:t>ПРОИЗ-ВОДСТВО</w:t>
            </w:r>
            <w:proofErr w:type="gramEnd"/>
          </w:p>
        </w:tc>
        <w:tc>
          <w:tcPr>
            <w:tcW w:w="2693"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proofErr w:type="gramStart"/>
            <w:r w:rsidRPr="00AB7066">
              <w:rPr>
                <w:rFonts w:ascii="Times New Roman" w:eastAsia="Times New Roman" w:hAnsi="Times New Roman" w:cs="Times New Roman"/>
                <w:color w:val="464646"/>
                <w:sz w:val="20"/>
                <w:szCs w:val="20"/>
                <w:lang w:eastAsia="ru-RU"/>
              </w:rPr>
              <w:t>СМП, осуществляющие деятельность в сфере </w:t>
            </w:r>
            <w:r w:rsidRPr="00AB7066">
              <w:rPr>
                <w:rFonts w:ascii="Times New Roman" w:eastAsia="Times New Roman" w:hAnsi="Times New Roman" w:cs="Times New Roman"/>
                <w:b/>
                <w:bCs/>
                <w:color w:val="464646"/>
                <w:sz w:val="20"/>
                <w:szCs w:val="20"/>
                <w:bdr w:val="none" w:sz="0" w:space="0" w:color="auto" w:frame="1"/>
                <w:lang w:eastAsia="ru-RU"/>
              </w:rPr>
              <w:t>обрабатывающего производства (</w:t>
            </w:r>
            <w:r w:rsidRPr="00AB7066">
              <w:rPr>
                <w:rFonts w:ascii="Times New Roman" w:eastAsia="Times New Roman" w:hAnsi="Times New Roman" w:cs="Times New Roman"/>
                <w:color w:val="464646"/>
                <w:sz w:val="20"/>
                <w:szCs w:val="20"/>
                <w:lang w:eastAsia="ru-RU"/>
              </w:rPr>
              <w:t xml:space="preserve">группировка по ОКВЭД:  классы 10, 11, 13, 14, 15, 16, 17, 20, 21, 22, 23, 24, 25, 26, 27, 28, 29, 30, 31, 32, 33  (за исключением производства дистиллированных алкогольных напитков, этилового спирта из </w:t>
            </w:r>
            <w:proofErr w:type="spellStart"/>
            <w:r w:rsidRPr="00AB7066">
              <w:rPr>
                <w:rFonts w:ascii="Times New Roman" w:eastAsia="Times New Roman" w:hAnsi="Times New Roman" w:cs="Times New Roman"/>
                <w:color w:val="464646"/>
                <w:sz w:val="20"/>
                <w:szCs w:val="20"/>
                <w:lang w:eastAsia="ru-RU"/>
              </w:rPr>
              <w:t>сброженных</w:t>
            </w:r>
            <w:proofErr w:type="spellEnd"/>
            <w:r w:rsidRPr="00AB7066">
              <w:rPr>
                <w:rFonts w:ascii="Times New Roman" w:eastAsia="Times New Roman" w:hAnsi="Times New Roman" w:cs="Times New Roman"/>
                <w:color w:val="464646"/>
                <w:sz w:val="20"/>
                <w:szCs w:val="20"/>
                <w:lang w:eastAsia="ru-RU"/>
              </w:rPr>
              <w:t xml:space="preserve"> материалов, виноградного вина, сидра и прочих плодовых вин, прочих недистиллированных напитков из </w:t>
            </w:r>
            <w:proofErr w:type="spellStart"/>
            <w:r w:rsidRPr="00AB7066">
              <w:rPr>
                <w:rFonts w:ascii="Times New Roman" w:eastAsia="Times New Roman" w:hAnsi="Times New Roman" w:cs="Times New Roman"/>
                <w:color w:val="464646"/>
                <w:sz w:val="20"/>
                <w:szCs w:val="20"/>
                <w:lang w:eastAsia="ru-RU"/>
              </w:rPr>
              <w:t>сброженных</w:t>
            </w:r>
            <w:proofErr w:type="spellEnd"/>
            <w:r w:rsidRPr="00AB7066">
              <w:rPr>
                <w:rFonts w:ascii="Times New Roman" w:eastAsia="Times New Roman" w:hAnsi="Times New Roman" w:cs="Times New Roman"/>
                <w:color w:val="464646"/>
                <w:sz w:val="20"/>
                <w:szCs w:val="20"/>
                <w:lang w:eastAsia="ru-RU"/>
              </w:rPr>
              <w:t xml:space="preserve"> материалов, пива).</w:t>
            </w:r>
            <w:proofErr w:type="gramEnd"/>
          </w:p>
        </w:tc>
        <w:tc>
          <w:tcPr>
            <w:tcW w:w="1985"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По требованию Фонда</w:t>
            </w:r>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при одновременном выполнении следующих условий:</w:t>
            </w:r>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xml:space="preserve">-сумма </w:t>
            </w:r>
            <w:proofErr w:type="spellStart"/>
            <w:r w:rsidRPr="00AB7066">
              <w:rPr>
                <w:rFonts w:ascii="Times New Roman" w:eastAsia="Times New Roman" w:hAnsi="Times New Roman" w:cs="Times New Roman"/>
                <w:color w:val="464646"/>
                <w:sz w:val="20"/>
                <w:szCs w:val="20"/>
                <w:lang w:eastAsia="ru-RU"/>
              </w:rPr>
              <w:t>микрозайма</w:t>
            </w:r>
            <w:proofErr w:type="spellEnd"/>
            <w:r w:rsidRPr="00AB7066">
              <w:rPr>
                <w:rFonts w:ascii="Times New Roman" w:eastAsia="Times New Roman" w:hAnsi="Times New Roman" w:cs="Times New Roman"/>
                <w:color w:val="464646"/>
                <w:sz w:val="20"/>
                <w:szCs w:val="20"/>
                <w:lang w:eastAsia="ru-RU"/>
              </w:rPr>
              <w:t xml:space="preserve"> превышает</w:t>
            </w:r>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1,5 млн. руб.</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xml:space="preserve">-целью </w:t>
            </w:r>
            <w:proofErr w:type="spellStart"/>
            <w:r w:rsidRPr="00AB7066">
              <w:rPr>
                <w:rFonts w:ascii="Times New Roman" w:eastAsia="Times New Roman" w:hAnsi="Times New Roman" w:cs="Times New Roman"/>
                <w:color w:val="464646"/>
                <w:sz w:val="20"/>
                <w:szCs w:val="20"/>
                <w:lang w:eastAsia="ru-RU"/>
              </w:rPr>
              <w:t>микрозайма</w:t>
            </w:r>
            <w:proofErr w:type="spellEnd"/>
            <w:r w:rsidRPr="00AB7066">
              <w:rPr>
                <w:rFonts w:ascii="Times New Roman" w:eastAsia="Times New Roman" w:hAnsi="Times New Roman" w:cs="Times New Roman"/>
                <w:color w:val="464646"/>
                <w:sz w:val="20"/>
                <w:szCs w:val="20"/>
                <w:lang w:eastAsia="ru-RU"/>
              </w:rPr>
              <w:t xml:space="preserve"> не является пополнение оборотных средств (закуп товарно-материальных ценностей)</w:t>
            </w:r>
          </w:p>
        </w:tc>
        <w:tc>
          <w:tcPr>
            <w:tcW w:w="1701"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5 000 000</w:t>
            </w:r>
          </w:p>
        </w:tc>
        <w:tc>
          <w:tcPr>
            <w:tcW w:w="992"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0,8-кратный размер ключевой ставки БР</w:t>
            </w:r>
          </w:p>
        </w:tc>
        <w:tc>
          <w:tcPr>
            <w:tcW w:w="850"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500 000</w:t>
            </w:r>
          </w:p>
        </w:tc>
        <w:tc>
          <w:tcPr>
            <w:tcW w:w="709"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0,8-кратный размер ключевой ставки БР</w:t>
            </w:r>
          </w:p>
        </w:tc>
      </w:tr>
      <w:tr w:rsidR="00AB7066" w:rsidRPr="00AB7066" w:rsidTr="00AB7066">
        <w:trPr>
          <w:trHeight w:val="1724"/>
        </w:trPr>
        <w:tc>
          <w:tcPr>
            <w:tcW w:w="236" w:type="dxa"/>
            <w:tcBorders>
              <w:top w:val="nil"/>
              <w:left w:val="single" w:sz="8" w:space="0" w:color="auto"/>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2</w:t>
            </w:r>
          </w:p>
        </w:tc>
        <w:tc>
          <w:tcPr>
            <w:tcW w:w="961"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proofErr w:type="gramStart"/>
            <w:r w:rsidRPr="00AB7066">
              <w:rPr>
                <w:rFonts w:ascii="Times New Roman" w:eastAsia="Times New Roman" w:hAnsi="Times New Roman" w:cs="Times New Roman"/>
                <w:b/>
                <w:bCs/>
                <w:color w:val="464646"/>
                <w:sz w:val="20"/>
                <w:szCs w:val="20"/>
                <w:bdr w:val="none" w:sz="0" w:space="0" w:color="auto" w:frame="1"/>
                <w:lang w:eastAsia="ru-RU"/>
              </w:rPr>
              <w:t>ПРИО-РИТЕТ</w:t>
            </w:r>
            <w:proofErr w:type="gramEnd"/>
          </w:p>
        </w:tc>
        <w:tc>
          <w:tcPr>
            <w:tcW w:w="2693"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proofErr w:type="gramStart"/>
            <w:r w:rsidRPr="00AB7066">
              <w:rPr>
                <w:rFonts w:ascii="Times New Roman" w:eastAsia="Times New Roman" w:hAnsi="Times New Roman" w:cs="Times New Roman"/>
                <w:b/>
                <w:bCs/>
                <w:color w:val="464646"/>
                <w:sz w:val="20"/>
                <w:szCs w:val="20"/>
                <w:bdr w:val="none" w:sz="0" w:space="0" w:color="auto" w:frame="1"/>
                <w:lang w:eastAsia="ru-RU"/>
              </w:rPr>
              <w:t>СМП осуществляющие деятельность в рамках приоритетных проектов на территории Забайкальского края</w:t>
            </w:r>
            <w:r w:rsidRPr="00AB7066">
              <w:rPr>
                <w:rFonts w:ascii="Times New Roman" w:eastAsia="Times New Roman" w:hAnsi="Times New Roman" w:cs="Times New Roman"/>
                <w:b/>
                <w:bCs/>
                <w:color w:val="464646"/>
                <w:sz w:val="20"/>
                <w:szCs w:val="20"/>
                <w:bdr w:val="none" w:sz="0" w:space="0" w:color="auto" w:frame="1"/>
                <w:vertAlign w:val="superscript"/>
                <w:lang w:eastAsia="ru-RU"/>
              </w:rPr>
              <w:t>3</w:t>
            </w:r>
            <w:r w:rsidRPr="00AB7066">
              <w:rPr>
                <w:rFonts w:ascii="Times New Roman" w:eastAsia="Times New Roman" w:hAnsi="Times New Roman" w:cs="Times New Roman"/>
                <w:color w:val="464646"/>
                <w:sz w:val="20"/>
                <w:szCs w:val="20"/>
                <w:lang w:eastAsia="ru-RU"/>
              </w:rPr>
              <w:t>:</w:t>
            </w:r>
            <w:proofErr w:type="gramEnd"/>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xml:space="preserve">- резиденты ТОР, промышленных парков, технопарков, </w:t>
            </w:r>
            <w:proofErr w:type="gramStart"/>
            <w:r w:rsidRPr="00AB7066">
              <w:rPr>
                <w:rFonts w:ascii="Times New Roman" w:eastAsia="Times New Roman" w:hAnsi="Times New Roman" w:cs="Times New Roman"/>
                <w:color w:val="464646"/>
                <w:sz w:val="20"/>
                <w:szCs w:val="20"/>
                <w:lang w:eastAsia="ru-RU"/>
              </w:rPr>
              <w:t>бизнес-инкубаторов</w:t>
            </w:r>
            <w:proofErr w:type="gramEnd"/>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экспортно-ориентированные СМП,</w:t>
            </w:r>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Женщины-предприниматели / ЕИО ЮЛ (доля -50%),</w:t>
            </w:r>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xml:space="preserve">- с/х производственные / потребительские </w:t>
            </w:r>
            <w:r w:rsidRPr="00AB7066">
              <w:rPr>
                <w:rFonts w:ascii="Times New Roman" w:eastAsia="Times New Roman" w:hAnsi="Times New Roman" w:cs="Times New Roman"/>
                <w:color w:val="464646"/>
                <w:sz w:val="20"/>
                <w:szCs w:val="20"/>
                <w:lang w:eastAsia="ru-RU"/>
              </w:rPr>
              <w:lastRenderedPageBreak/>
              <w:t xml:space="preserve">кооперативы / </w:t>
            </w:r>
            <w:proofErr w:type="spellStart"/>
            <w:r w:rsidRPr="00AB7066">
              <w:rPr>
                <w:rFonts w:ascii="Times New Roman" w:eastAsia="Times New Roman" w:hAnsi="Times New Roman" w:cs="Times New Roman"/>
                <w:color w:val="464646"/>
                <w:sz w:val="20"/>
                <w:szCs w:val="20"/>
                <w:lang w:eastAsia="ru-RU"/>
              </w:rPr>
              <w:t>кфх</w:t>
            </w:r>
            <w:proofErr w:type="spellEnd"/>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Субъекты социального предпринимательства</w:t>
            </w:r>
            <w:proofErr w:type="gramStart"/>
            <w:r w:rsidRPr="00AB7066">
              <w:rPr>
                <w:rFonts w:ascii="Times New Roman" w:eastAsia="Times New Roman" w:hAnsi="Times New Roman" w:cs="Times New Roman"/>
                <w:color w:val="464646"/>
                <w:sz w:val="20"/>
                <w:szCs w:val="20"/>
                <w:bdr w:val="none" w:sz="0" w:space="0" w:color="auto" w:frame="1"/>
                <w:vertAlign w:val="superscript"/>
                <w:lang w:eastAsia="ru-RU"/>
              </w:rPr>
              <w:t>4</w:t>
            </w:r>
            <w:proofErr w:type="gramEnd"/>
          </w:p>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СМП, осуществляющие деятельность в области с/х, туризма, экологии, спорта;</w:t>
            </w:r>
          </w:p>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-ИП/учредитель ЮЛ (доля-50%) старше 45 лет (срок регистрации менее 12 мес.)</w:t>
            </w:r>
          </w:p>
        </w:tc>
        <w:tc>
          <w:tcPr>
            <w:tcW w:w="1985"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bdr w:val="none" w:sz="0" w:space="0" w:color="auto" w:frame="1"/>
                <w:vertAlign w:val="superscript"/>
                <w:lang w:eastAsia="ru-RU"/>
              </w:rPr>
              <w:lastRenderedPageBreak/>
              <w:t> </w:t>
            </w:r>
          </w:p>
        </w:tc>
        <w:tc>
          <w:tcPr>
            <w:tcW w:w="1701"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1 500 000</w:t>
            </w:r>
          </w:p>
        </w:tc>
        <w:tc>
          <w:tcPr>
            <w:tcW w:w="992"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В размере ключевой ставки БР</w:t>
            </w:r>
          </w:p>
        </w:tc>
        <w:tc>
          <w:tcPr>
            <w:tcW w:w="850"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500 000</w:t>
            </w:r>
          </w:p>
        </w:tc>
        <w:tc>
          <w:tcPr>
            <w:tcW w:w="709"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В  размере ключевой ставки БР</w:t>
            </w:r>
          </w:p>
        </w:tc>
      </w:tr>
      <w:tr w:rsidR="00AB7066" w:rsidRPr="00AB7066" w:rsidTr="00AB7066">
        <w:trPr>
          <w:trHeight w:val="649"/>
        </w:trPr>
        <w:tc>
          <w:tcPr>
            <w:tcW w:w="236" w:type="dxa"/>
            <w:tcBorders>
              <w:top w:val="nil"/>
              <w:left w:val="single" w:sz="8" w:space="0" w:color="auto"/>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b/>
                <w:bCs/>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lastRenderedPageBreak/>
              <w:t>3</w:t>
            </w:r>
          </w:p>
        </w:tc>
        <w:tc>
          <w:tcPr>
            <w:tcW w:w="961"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ПРОЧИЕ</w:t>
            </w:r>
          </w:p>
        </w:tc>
        <w:tc>
          <w:tcPr>
            <w:tcW w:w="2693"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СМП, осуществляющие деятельность в</w:t>
            </w:r>
            <w:r w:rsidRPr="00AB7066">
              <w:rPr>
                <w:rFonts w:ascii="Times New Roman" w:eastAsia="Times New Roman" w:hAnsi="Times New Roman" w:cs="Times New Roman"/>
                <w:b/>
                <w:bCs/>
                <w:color w:val="464646"/>
                <w:sz w:val="20"/>
                <w:szCs w:val="20"/>
                <w:bdr w:val="none" w:sz="0" w:space="0" w:color="auto" w:frame="1"/>
                <w:lang w:eastAsia="ru-RU"/>
              </w:rPr>
              <w:t> любой сфере,</w:t>
            </w:r>
            <w:r w:rsidRPr="00AB7066">
              <w:rPr>
                <w:rFonts w:ascii="Times New Roman" w:eastAsia="Times New Roman" w:hAnsi="Times New Roman" w:cs="Times New Roman"/>
                <w:color w:val="464646"/>
                <w:sz w:val="20"/>
                <w:szCs w:val="20"/>
                <w:lang w:eastAsia="ru-RU"/>
              </w:rPr>
              <w:t> не указанной в п.1-2 Таблицы</w:t>
            </w:r>
          </w:p>
        </w:tc>
        <w:tc>
          <w:tcPr>
            <w:tcW w:w="1985" w:type="dxa"/>
            <w:tcBorders>
              <w:top w:val="nil"/>
              <w:left w:val="nil"/>
              <w:bottom w:val="single" w:sz="8" w:space="0" w:color="auto"/>
              <w:right w:val="single" w:sz="8" w:space="0" w:color="auto"/>
            </w:tcBorders>
            <w:tcMar>
              <w:top w:w="45" w:type="dxa"/>
              <w:left w:w="57" w:type="dxa"/>
              <w:bottom w:w="45" w:type="dxa"/>
              <w:right w:w="57" w:type="dxa"/>
            </w:tcMa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 </w:t>
            </w:r>
          </w:p>
        </w:tc>
        <w:tc>
          <w:tcPr>
            <w:tcW w:w="1701"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1 500 000</w:t>
            </w:r>
          </w:p>
        </w:tc>
        <w:tc>
          <w:tcPr>
            <w:tcW w:w="992"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1,3-кратный размер ключевой ставки БР</w:t>
            </w:r>
          </w:p>
        </w:tc>
        <w:tc>
          <w:tcPr>
            <w:tcW w:w="850"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after="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b/>
                <w:bCs/>
                <w:color w:val="464646"/>
                <w:sz w:val="20"/>
                <w:szCs w:val="20"/>
                <w:bdr w:val="none" w:sz="0" w:space="0" w:color="auto" w:frame="1"/>
                <w:lang w:eastAsia="ru-RU"/>
              </w:rPr>
              <w:t>500 000</w:t>
            </w:r>
          </w:p>
        </w:tc>
        <w:tc>
          <w:tcPr>
            <w:tcW w:w="709" w:type="dxa"/>
            <w:tcBorders>
              <w:top w:val="nil"/>
              <w:left w:val="nil"/>
              <w:bottom w:val="single" w:sz="8" w:space="0" w:color="auto"/>
              <w:right w:val="single" w:sz="8" w:space="0" w:color="auto"/>
            </w:tcBorders>
            <w:tcMar>
              <w:top w:w="45" w:type="dxa"/>
              <w:left w:w="57" w:type="dxa"/>
              <w:bottom w:w="45" w:type="dxa"/>
              <w:right w:w="57" w:type="dxa"/>
            </w:tcMar>
            <w:vAlign w:val="center"/>
            <w:hideMark/>
          </w:tcPr>
          <w:p w:rsidR="00AB7066" w:rsidRPr="00AB7066" w:rsidRDefault="00AB7066" w:rsidP="00AB7066">
            <w:pPr>
              <w:spacing w:before="60" w:after="60" w:line="240" w:lineRule="auto"/>
              <w:textAlignment w:val="baseline"/>
              <w:rPr>
                <w:rFonts w:ascii="Times New Roman" w:eastAsia="Times New Roman" w:hAnsi="Times New Roman" w:cs="Times New Roman"/>
                <w:color w:val="464646"/>
                <w:sz w:val="20"/>
                <w:szCs w:val="20"/>
                <w:lang w:eastAsia="ru-RU"/>
              </w:rPr>
            </w:pPr>
            <w:r w:rsidRPr="00AB7066">
              <w:rPr>
                <w:rFonts w:ascii="Times New Roman" w:eastAsia="Times New Roman" w:hAnsi="Times New Roman" w:cs="Times New Roman"/>
                <w:color w:val="464646"/>
                <w:sz w:val="20"/>
                <w:szCs w:val="20"/>
                <w:lang w:eastAsia="ru-RU"/>
              </w:rPr>
              <w:t>1,3-кратный размер ключевой ставки БР</w:t>
            </w:r>
          </w:p>
        </w:tc>
      </w:tr>
    </w:tbl>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Регистрационный номер Фонда развития промышленности Забайкальского края (</w:t>
      </w:r>
      <w:proofErr w:type="spellStart"/>
      <w:r w:rsidRPr="00AB7066">
        <w:rPr>
          <w:rFonts w:ascii="Times New Roman" w:eastAsia="Times New Roman" w:hAnsi="Times New Roman" w:cs="Times New Roman"/>
          <w:color w:val="464646"/>
          <w:sz w:val="20"/>
          <w:szCs w:val="20"/>
          <w:bdr w:val="none" w:sz="0" w:space="0" w:color="auto" w:frame="1"/>
          <w:lang w:eastAsia="ru-RU"/>
        </w:rPr>
        <w:t>микрокредитная</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компания) в Государственном реестре </w:t>
      </w:r>
      <w:proofErr w:type="spellStart"/>
      <w:r w:rsidRPr="00AB7066">
        <w:rPr>
          <w:rFonts w:ascii="Times New Roman" w:eastAsia="Times New Roman" w:hAnsi="Times New Roman" w:cs="Times New Roman"/>
          <w:color w:val="464646"/>
          <w:sz w:val="20"/>
          <w:szCs w:val="20"/>
          <w:bdr w:val="none" w:sz="0" w:space="0" w:color="auto" w:frame="1"/>
          <w:lang w:eastAsia="ru-RU"/>
        </w:rPr>
        <w:t>микрофинансовых</w:t>
      </w:r>
      <w:proofErr w:type="spellEnd"/>
      <w:r w:rsidRPr="00AB7066">
        <w:rPr>
          <w:rFonts w:ascii="Times New Roman" w:eastAsia="Times New Roman" w:hAnsi="Times New Roman" w:cs="Times New Roman"/>
          <w:color w:val="464646"/>
          <w:sz w:val="20"/>
          <w:szCs w:val="20"/>
          <w:bdr w:val="none" w:sz="0" w:space="0" w:color="auto" w:frame="1"/>
          <w:lang w:eastAsia="ru-RU"/>
        </w:rPr>
        <w:t xml:space="preserve"> организаций 1703576008415 от 01.08.2017 г. </w:t>
      </w:r>
    </w:p>
    <w:p w:rsidR="00AB7066" w:rsidRPr="00AB7066" w:rsidRDefault="00AB7066" w:rsidP="00AB7066">
      <w:pPr>
        <w:spacing w:after="0" w:line="255" w:lineRule="atLeast"/>
        <w:textAlignment w:val="baseline"/>
        <w:rPr>
          <w:rFonts w:ascii="Times New Roman" w:eastAsia="Times New Roman" w:hAnsi="Times New Roman" w:cs="Times New Roman"/>
          <w:color w:val="464646"/>
          <w:sz w:val="20"/>
          <w:szCs w:val="20"/>
          <w:bdr w:val="none" w:sz="0" w:space="0" w:color="auto" w:frame="1"/>
          <w:lang w:eastAsia="ru-RU"/>
        </w:rPr>
      </w:pPr>
      <w:r w:rsidRPr="00AB7066">
        <w:rPr>
          <w:rFonts w:ascii="Times New Roman" w:eastAsia="Times New Roman" w:hAnsi="Times New Roman" w:cs="Times New Roman"/>
          <w:color w:val="464646"/>
          <w:sz w:val="20"/>
          <w:szCs w:val="20"/>
          <w:bdr w:val="none" w:sz="0" w:space="0" w:color="auto" w:frame="1"/>
          <w:lang w:eastAsia="ru-RU"/>
        </w:rPr>
        <w:t>Дополнительно с информацией можно ознакомиться на сайте: </w:t>
      </w:r>
      <w:hyperlink r:id="rId9" w:history="1">
        <w:r w:rsidRPr="00AB7066">
          <w:rPr>
            <w:rFonts w:ascii="Times New Roman" w:eastAsia="Times New Roman" w:hAnsi="Times New Roman" w:cs="Times New Roman"/>
            <w:color w:val="14A8F5"/>
            <w:sz w:val="20"/>
            <w:szCs w:val="20"/>
            <w:bdr w:val="none" w:sz="0" w:space="0" w:color="auto" w:frame="1"/>
            <w:lang w:eastAsia="ru-RU"/>
          </w:rPr>
          <w:t>https://www.frp75.ru/programmy-finansirovaniya</w:t>
        </w:r>
      </w:hyperlink>
    </w:p>
    <w:p w:rsidR="00AB7066" w:rsidRPr="00AB7066" w:rsidRDefault="00AB7066" w:rsidP="00AB7066">
      <w:pPr>
        <w:spacing w:after="0" w:line="255" w:lineRule="atLeast"/>
        <w:textAlignment w:val="baseline"/>
        <w:rPr>
          <w:rFonts w:ascii="Times New Roman" w:eastAsia="Times New Roman" w:hAnsi="Times New Roman" w:cs="Times New Roman"/>
          <w:sz w:val="20"/>
          <w:szCs w:val="20"/>
          <w:bdr w:val="none" w:sz="0" w:space="0" w:color="auto" w:frame="1"/>
          <w:lang w:eastAsia="ru-RU"/>
        </w:rPr>
      </w:pPr>
      <w:r w:rsidRPr="00AB7066">
        <w:rPr>
          <w:rFonts w:ascii="Times New Roman" w:eastAsia="Times New Roman" w:hAnsi="Times New Roman" w:cs="Times New Roman"/>
          <w:sz w:val="20"/>
          <w:szCs w:val="20"/>
          <w:bdr w:val="none" w:sz="0" w:space="0" w:color="auto" w:frame="1"/>
          <w:lang w:eastAsia="ru-RU"/>
        </w:rPr>
        <w:br/>
      </w:r>
    </w:p>
    <w:p w:rsidR="00AB7066" w:rsidRPr="00AB7066" w:rsidRDefault="00AB7066" w:rsidP="00AB7066">
      <w:pPr>
        <w:shd w:val="clear" w:color="auto" w:fill="C8E2F0"/>
        <w:spacing w:after="0" w:line="255" w:lineRule="atLeast"/>
        <w:textAlignment w:val="baseline"/>
        <w:rPr>
          <w:rFonts w:ascii="Times New Roman" w:eastAsia="Times New Roman" w:hAnsi="Times New Roman" w:cs="Times New Roman"/>
          <w:b/>
          <w:bCs/>
          <w:color w:val="2579A6"/>
          <w:sz w:val="20"/>
          <w:szCs w:val="20"/>
          <w:bdr w:val="none" w:sz="0" w:space="0" w:color="auto" w:frame="1"/>
          <w:lang w:eastAsia="ru-RU"/>
        </w:rPr>
      </w:pPr>
      <w:r w:rsidRPr="00AB7066">
        <w:rPr>
          <w:rFonts w:ascii="Times New Roman" w:eastAsia="Times New Roman" w:hAnsi="Times New Roman" w:cs="Times New Roman"/>
          <w:b/>
          <w:bCs/>
          <w:color w:val="2579A6"/>
          <w:sz w:val="20"/>
          <w:szCs w:val="20"/>
          <w:bdr w:val="none" w:sz="0" w:space="0" w:color="auto" w:frame="1"/>
          <w:lang w:eastAsia="ru-RU"/>
        </w:rPr>
        <w:t>Руководитель организации: Генеральный директор                                                                      </w:t>
      </w:r>
    </w:p>
    <w:p w:rsidR="00AB7066" w:rsidRPr="00AB7066" w:rsidRDefault="00AB7066" w:rsidP="00AB7066">
      <w:pPr>
        <w:shd w:val="clear" w:color="auto" w:fill="FFFFFF"/>
        <w:spacing w:after="0" w:line="255" w:lineRule="atLeast"/>
        <w:textAlignment w:val="baseline"/>
        <w:rPr>
          <w:rFonts w:ascii="Arial" w:eastAsia="Times New Roman" w:hAnsi="Arial" w:cs="Arial"/>
          <w:color w:val="464646"/>
          <w:sz w:val="20"/>
          <w:szCs w:val="20"/>
          <w:bdr w:val="none" w:sz="0" w:space="0" w:color="auto" w:frame="1"/>
          <w:lang w:eastAsia="ru-RU"/>
        </w:rPr>
      </w:pPr>
      <w:r w:rsidRPr="00AB7066">
        <w:rPr>
          <w:rFonts w:ascii="Arial" w:eastAsia="Times New Roman" w:hAnsi="Arial" w:cs="Arial"/>
          <w:b/>
          <w:bCs/>
          <w:color w:val="464646"/>
          <w:sz w:val="20"/>
          <w:szCs w:val="20"/>
          <w:bdr w:val="none" w:sz="0" w:space="0" w:color="auto" w:frame="1"/>
          <w:lang w:eastAsia="ru-RU"/>
        </w:rPr>
        <w:t>Контактные данные:  </w:t>
      </w:r>
    </w:p>
    <w:p w:rsidR="00AB7066" w:rsidRPr="00AB7066" w:rsidRDefault="00AB7066" w:rsidP="00AB7066">
      <w:pPr>
        <w:shd w:val="clear" w:color="auto" w:fill="FFFFFF"/>
        <w:spacing w:after="0" w:line="255" w:lineRule="atLeast"/>
        <w:textAlignment w:val="baseline"/>
        <w:rPr>
          <w:rFonts w:ascii="Arial" w:eastAsia="Times New Roman" w:hAnsi="Arial" w:cs="Arial"/>
          <w:color w:val="464646"/>
          <w:sz w:val="20"/>
          <w:szCs w:val="20"/>
          <w:bdr w:val="none" w:sz="0" w:space="0" w:color="auto" w:frame="1"/>
          <w:lang w:eastAsia="ru-RU"/>
        </w:rPr>
      </w:pPr>
      <w:proofErr w:type="gramStart"/>
      <w:r w:rsidRPr="00AB7066">
        <w:rPr>
          <w:rFonts w:ascii="Arial" w:eastAsia="Times New Roman" w:hAnsi="Arial" w:cs="Arial"/>
          <w:b/>
          <w:bCs/>
          <w:color w:val="464646"/>
          <w:sz w:val="20"/>
          <w:szCs w:val="20"/>
          <w:bdr w:val="none" w:sz="0" w:space="0" w:color="auto" w:frame="1"/>
          <w:lang w:eastAsia="ru-RU"/>
        </w:rPr>
        <w:t>Адрес: 672039, Россия, г. Чита, ул. Чкалова, д. 25, стр.1.</w:t>
      </w:r>
      <w:proofErr w:type="gramEnd"/>
    </w:p>
    <w:p w:rsidR="00AB7066" w:rsidRPr="00AB7066" w:rsidRDefault="00AB7066" w:rsidP="00AB7066">
      <w:pPr>
        <w:shd w:val="clear" w:color="auto" w:fill="FFFFFF"/>
        <w:spacing w:after="0" w:line="255" w:lineRule="atLeast"/>
        <w:textAlignment w:val="baseline"/>
        <w:rPr>
          <w:rFonts w:ascii="Arial" w:eastAsia="Times New Roman" w:hAnsi="Arial" w:cs="Arial"/>
          <w:color w:val="464646"/>
          <w:sz w:val="20"/>
          <w:szCs w:val="20"/>
          <w:bdr w:val="none" w:sz="0" w:space="0" w:color="auto" w:frame="1"/>
          <w:lang w:eastAsia="ru-RU"/>
        </w:rPr>
      </w:pPr>
      <w:r w:rsidRPr="00AB7066">
        <w:rPr>
          <w:rFonts w:ascii="Arial" w:eastAsia="Times New Roman" w:hAnsi="Arial" w:cs="Arial"/>
          <w:b/>
          <w:bCs/>
          <w:color w:val="464646"/>
          <w:sz w:val="20"/>
          <w:szCs w:val="20"/>
          <w:bdr w:val="none" w:sz="0" w:space="0" w:color="auto" w:frame="1"/>
          <w:lang w:eastAsia="ru-RU"/>
        </w:rPr>
        <w:t>Телефон: (3022)31-14-24, e-</w:t>
      </w:r>
      <w:proofErr w:type="spellStart"/>
      <w:r w:rsidRPr="00AB7066">
        <w:rPr>
          <w:rFonts w:ascii="Arial" w:eastAsia="Times New Roman" w:hAnsi="Arial" w:cs="Arial"/>
          <w:b/>
          <w:bCs/>
          <w:color w:val="464646"/>
          <w:sz w:val="20"/>
          <w:szCs w:val="20"/>
          <w:bdr w:val="none" w:sz="0" w:space="0" w:color="auto" w:frame="1"/>
          <w:lang w:eastAsia="ru-RU"/>
        </w:rPr>
        <w:t>mail</w:t>
      </w:r>
      <w:proofErr w:type="spellEnd"/>
      <w:r w:rsidRPr="00AB7066">
        <w:rPr>
          <w:rFonts w:ascii="Arial" w:eastAsia="Times New Roman" w:hAnsi="Arial" w:cs="Arial"/>
          <w:b/>
          <w:bCs/>
          <w:color w:val="464646"/>
          <w:sz w:val="20"/>
          <w:szCs w:val="20"/>
          <w:bdr w:val="none" w:sz="0" w:space="0" w:color="auto" w:frame="1"/>
          <w:lang w:eastAsia="ru-RU"/>
        </w:rPr>
        <w:t>: </w:t>
      </w:r>
      <w:hyperlink r:id="rId10" w:history="1">
        <w:r w:rsidRPr="00AB7066">
          <w:rPr>
            <w:rFonts w:ascii="Arial" w:eastAsia="Times New Roman" w:hAnsi="Arial" w:cs="Arial"/>
            <w:b/>
            <w:bCs/>
            <w:color w:val="14A8F5"/>
            <w:sz w:val="20"/>
            <w:szCs w:val="20"/>
            <w:bdr w:val="none" w:sz="0" w:space="0" w:color="auto" w:frame="1"/>
            <w:lang w:eastAsia="ru-RU"/>
          </w:rPr>
          <w:t>frp75@bk.ru</w:t>
        </w:r>
      </w:hyperlink>
    </w:p>
    <w:p w:rsidR="00AB7066" w:rsidRPr="00AB7066" w:rsidRDefault="00AB7066" w:rsidP="00AB7066">
      <w:pPr>
        <w:shd w:val="clear" w:color="auto" w:fill="FFFFFF"/>
        <w:spacing w:after="0" w:line="255" w:lineRule="atLeast"/>
        <w:textAlignment w:val="baseline"/>
        <w:rPr>
          <w:rFonts w:ascii="Arial" w:eastAsia="Times New Roman" w:hAnsi="Arial" w:cs="Arial"/>
          <w:color w:val="464646"/>
          <w:sz w:val="20"/>
          <w:szCs w:val="20"/>
          <w:bdr w:val="none" w:sz="0" w:space="0" w:color="auto" w:frame="1"/>
          <w:lang w:eastAsia="ru-RU"/>
        </w:rPr>
      </w:pPr>
      <w:r w:rsidRPr="00AB7066">
        <w:rPr>
          <w:rFonts w:ascii="Arial" w:eastAsia="Times New Roman" w:hAnsi="Arial" w:cs="Arial"/>
          <w:b/>
          <w:bCs/>
          <w:color w:val="464646"/>
          <w:sz w:val="20"/>
          <w:szCs w:val="20"/>
          <w:bdr w:val="none" w:sz="0" w:space="0" w:color="auto" w:frame="1"/>
          <w:lang w:eastAsia="ru-RU"/>
        </w:rPr>
        <w:t xml:space="preserve">Адрес </w:t>
      </w:r>
      <w:proofErr w:type="gramStart"/>
      <w:r w:rsidRPr="00AB7066">
        <w:rPr>
          <w:rFonts w:ascii="Arial" w:eastAsia="Times New Roman" w:hAnsi="Arial" w:cs="Arial"/>
          <w:b/>
          <w:bCs/>
          <w:color w:val="464646"/>
          <w:sz w:val="20"/>
          <w:szCs w:val="20"/>
          <w:bdr w:val="none" w:sz="0" w:space="0" w:color="auto" w:frame="1"/>
          <w:lang w:eastAsia="ru-RU"/>
        </w:rPr>
        <w:t>интернет-страницы</w:t>
      </w:r>
      <w:proofErr w:type="gramEnd"/>
      <w:r w:rsidRPr="00AB7066">
        <w:rPr>
          <w:rFonts w:ascii="Arial" w:eastAsia="Times New Roman" w:hAnsi="Arial" w:cs="Arial"/>
          <w:b/>
          <w:bCs/>
          <w:color w:val="464646"/>
          <w:sz w:val="20"/>
          <w:szCs w:val="20"/>
          <w:bdr w:val="none" w:sz="0" w:space="0" w:color="auto" w:frame="1"/>
          <w:lang w:eastAsia="ru-RU"/>
        </w:rPr>
        <w:t>:</w:t>
      </w:r>
      <w:hyperlink r:id="rId11" w:history="1">
        <w:r w:rsidRPr="00AB7066">
          <w:rPr>
            <w:rFonts w:ascii="Arial" w:eastAsia="Times New Roman" w:hAnsi="Arial" w:cs="Arial"/>
            <w:b/>
            <w:bCs/>
            <w:color w:val="14A8F5"/>
            <w:sz w:val="20"/>
            <w:szCs w:val="20"/>
            <w:bdr w:val="none" w:sz="0" w:space="0" w:color="auto" w:frame="1"/>
            <w:lang w:eastAsia="ru-RU"/>
          </w:rPr>
          <w:t> www.</w:t>
        </w:r>
        <w:r w:rsidRPr="00AB7066">
          <w:rPr>
            <w:rFonts w:ascii="Arial" w:eastAsia="Times New Roman" w:hAnsi="Arial" w:cs="Arial"/>
            <w:b/>
            <w:bCs/>
            <w:color w:val="14A8F5"/>
            <w:sz w:val="20"/>
            <w:szCs w:val="20"/>
            <w:bdr w:val="none" w:sz="0" w:space="0" w:color="auto" w:frame="1"/>
            <w:lang w:eastAsia="ru-RU"/>
          </w:rPr>
          <w:t>f</w:t>
        </w:r>
        <w:r w:rsidRPr="00AB7066">
          <w:rPr>
            <w:rFonts w:ascii="Arial" w:eastAsia="Times New Roman" w:hAnsi="Arial" w:cs="Arial"/>
            <w:b/>
            <w:bCs/>
            <w:color w:val="14A8F5"/>
            <w:sz w:val="20"/>
            <w:szCs w:val="20"/>
            <w:bdr w:val="none" w:sz="0" w:space="0" w:color="auto" w:frame="1"/>
            <w:lang w:eastAsia="ru-RU"/>
          </w:rPr>
          <w:t>rp75.ru</w:t>
        </w:r>
      </w:hyperlink>
      <w:r w:rsidRPr="00AB7066">
        <w:rPr>
          <w:rFonts w:ascii="Arial" w:eastAsia="Times New Roman" w:hAnsi="Arial" w:cs="Arial"/>
          <w:b/>
          <w:bCs/>
          <w:color w:val="464646"/>
          <w:sz w:val="20"/>
          <w:szCs w:val="20"/>
          <w:bdr w:val="none" w:sz="0" w:space="0" w:color="auto" w:frame="1"/>
          <w:lang w:eastAsia="ru-RU"/>
        </w:rPr>
        <w:t> </w:t>
      </w:r>
    </w:p>
    <w:p w:rsidR="00E818E2" w:rsidRDefault="00AB7066" w:rsidP="00AB7066">
      <w:r w:rsidRPr="00AB7066">
        <w:rPr>
          <w:rFonts w:ascii="Times New Roman" w:eastAsia="Times New Roman" w:hAnsi="Times New Roman" w:cs="Times New Roman"/>
          <w:sz w:val="20"/>
          <w:szCs w:val="20"/>
          <w:bdr w:val="none" w:sz="0" w:space="0" w:color="auto" w:frame="1"/>
          <w:lang w:eastAsia="ru-RU"/>
        </w:rPr>
        <w:br/>
      </w:r>
    </w:p>
    <w:sectPr w:rsidR="00E8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1F"/>
    <w:rsid w:val="001C041F"/>
    <w:rsid w:val="00AB7066"/>
    <w:rsid w:val="00E8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066"/>
    <w:rPr>
      <w:rFonts w:ascii="Times New Roman" w:eastAsia="Times New Roman" w:hAnsi="Times New Roman" w:cs="Times New Roman"/>
      <w:b/>
      <w:bCs/>
      <w:kern w:val="36"/>
      <w:sz w:val="48"/>
      <w:szCs w:val="48"/>
      <w:lang w:eastAsia="ru-RU"/>
    </w:rPr>
  </w:style>
  <w:style w:type="paragraph" w:customStyle="1" w:styleId="anonse">
    <w:name w:val="anonse"/>
    <w:basedOn w:val="a"/>
    <w:rsid w:val="00AB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7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066"/>
    <w:rPr>
      <w:color w:val="0000FF"/>
      <w:u w:val="single"/>
    </w:rPr>
  </w:style>
  <w:style w:type="paragraph" w:customStyle="1" w:styleId="box">
    <w:name w:val="box"/>
    <w:basedOn w:val="a"/>
    <w:rsid w:val="00AB7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7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066"/>
    <w:rPr>
      <w:rFonts w:ascii="Times New Roman" w:eastAsia="Times New Roman" w:hAnsi="Times New Roman" w:cs="Times New Roman"/>
      <w:b/>
      <w:bCs/>
      <w:kern w:val="36"/>
      <w:sz w:val="48"/>
      <w:szCs w:val="48"/>
      <w:lang w:eastAsia="ru-RU"/>
    </w:rPr>
  </w:style>
  <w:style w:type="paragraph" w:customStyle="1" w:styleId="anonse">
    <w:name w:val="anonse"/>
    <w:basedOn w:val="a"/>
    <w:rsid w:val="00AB7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B7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7066"/>
    <w:rPr>
      <w:color w:val="0000FF"/>
      <w:u w:val="single"/>
    </w:rPr>
  </w:style>
  <w:style w:type="paragraph" w:customStyle="1" w:styleId="box">
    <w:name w:val="box"/>
    <w:basedOn w:val="a"/>
    <w:rsid w:val="00AB7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96076">
      <w:bodyDiv w:val="1"/>
      <w:marLeft w:val="0"/>
      <w:marRight w:val="0"/>
      <w:marTop w:val="0"/>
      <w:marBottom w:val="0"/>
      <w:divBdr>
        <w:top w:val="none" w:sz="0" w:space="0" w:color="auto"/>
        <w:left w:val="none" w:sz="0" w:space="0" w:color="auto"/>
        <w:bottom w:val="none" w:sz="0" w:space="0" w:color="auto"/>
        <w:right w:val="none" w:sz="0" w:space="0" w:color="auto"/>
      </w:divBdr>
      <w:divsChild>
        <w:div w:id="125836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p75.ru/proizvodstvennye-zaj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p75.ru/regionalnye-zajm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rp75.ru/kopiya-sovmestnye-zajmy" TargetMode="External"/><Relationship Id="rId11" Type="http://schemas.openxmlformats.org/officeDocument/2006/relationships/hyperlink" Target="https://www.frp75.ru/" TargetMode="External"/><Relationship Id="rId5" Type="http://schemas.openxmlformats.org/officeDocument/2006/relationships/hyperlink" Target="https://www.frp75.ru/proekty-razvitiya" TargetMode="External"/><Relationship Id="rId10" Type="http://schemas.openxmlformats.org/officeDocument/2006/relationships/hyperlink" Target="mailto:frp75@bk.ru" TargetMode="External"/><Relationship Id="rId4" Type="http://schemas.openxmlformats.org/officeDocument/2006/relationships/webSettings" Target="webSettings.xml"/><Relationship Id="rId9" Type="http://schemas.openxmlformats.org/officeDocument/2006/relationships/hyperlink" Target="https://www.frp75.ru/programmy-finansir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8692</Characters>
  <Application>Microsoft Office Word</Application>
  <DocSecurity>0</DocSecurity>
  <Lines>72</Lines>
  <Paragraphs>20</Paragraphs>
  <ScaleCrop>false</ScaleCrop>
  <Company>Krokoz™</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2020-03-23T02:56:00Z</dcterms:created>
  <dcterms:modified xsi:type="dcterms:W3CDTF">2020-03-23T02:57:00Z</dcterms:modified>
</cp:coreProperties>
</file>