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«ХУШЕНГИНСКОЕ»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99634D" w:rsidP="001A01A7">
      <w:pPr>
        <w:pStyle w:val="a3"/>
        <w:jc w:val="left"/>
      </w:pPr>
      <w:r>
        <w:t>От 22</w:t>
      </w:r>
      <w:r w:rsidR="00851A31">
        <w:t>.0</w:t>
      </w:r>
      <w:r>
        <w:t>6.2020</w:t>
      </w:r>
      <w:r w:rsidR="00851A31">
        <w:t xml:space="preserve"> г.                </w:t>
      </w:r>
      <w:r w:rsidR="001A01A7">
        <w:t xml:space="preserve">                                   </w:t>
      </w:r>
      <w:r w:rsidR="00942BC5">
        <w:t xml:space="preserve">                        №85.</w:t>
      </w: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proofErr w:type="spellStart"/>
      <w:r w:rsidRPr="00851A31">
        <w:rPr>
          <w:i/>
          <w:sz w:val="28"/>
          <w:szCs w:val="28"/>
        </w:rPr>
        <w:t>Хушенга</w:t>
      </w:r>
      <w:proofErr w:type="spellEnd"/>
    </w:p>
    <w:p w:rsidR="001A01A7" w:rsidRDefault="001A01A7" w:rsidP="001A01A7">
      <w:pPr>
        <w:pStyle w:val="a3"/>
        <w:jc w:val="left"/>
      </w:pPr>
    </w:p>
    <w:p w:rsidR="001C26B9" w:rsidRPr="00851A31" w:rsidRDefault="0099634D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исполнении бюджета  за  2019</w:t>
      </w:r>
      <w:r w:rsidR="001A01A7" w:rsidRPr="00851A31">
        <w:rPr>
          <w:b/>
          <w:bCs/>
          <w:i/>
          <w:sz w:val="28"/>
          <w:szCs w:val="28"/>
        </w:rPr>
        <w:t xml:space="preserve"> год </w:t>
      </w:r>
    </w:p>
    <w:p w:rsidR="001A01A7" w:rsidRPr="00851A31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 xml:space="preserve">сельского поселения «Хушенгинское»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851A31" w:rsidRPr="00851A31">
        <w:rPr>
          <w:bCs/>
          <w:sz w:val="28"/>
          <w:szCs w:val="28"/>
        </w:rPr>
        <w:t>поселения «Хушенгинское» за 201</w:t>
      </w:r>
      <w:r w:rsidR="0099634D">
        <w:rPr>
          <w:bCs/>
          <w:sz w:val="28"/>
          <w:szCs w:val="28"/>
        </w:rPr>
        <w:t>9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«Хушенгинское»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«Хушенгинское» за 20</w:t>
      </w:r>
      <w:r w:rsidR="005637E4" w:rsidRPr="00851A31">
        <w:rPr>
          <w:sz w:val="28"/>
          <w:szCs w:val="28"/>
        </w:rPr>
        <w:t>1</w:t>
      </w:r>
      <w:r w:rsidR="0099634D">
        <w:rPr>
          <w:sz w:val="28"/>
          <w:szCs w:val="28"/>
        </w:rPr>
        <w:t>9 год по доходам в сумме 11 249,9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руб., по расходам в сумме 11 274,1</w:t>
      </w:r>
      <w:r w:rsidRPr="00851A31">
        <w:rPr>
          <w:sz w:val="28"/>
          <w:szCs w:val="28"/>
        </w:rPr>
        <w:t xml:space="preserve"> тыс. руб. с превышением </w:t>
      </w:r>
      <w:r w:rsidR="005637E4" w:rsidRPr="00851A31">
        <w:rPr>
          <w:sz w:val="28"/>
          <w:szCs w:val="28"/>
        </w:rPr>
        <w:t>ра</w:t>
      </w:r>
      <w:r w:rsidR="0099634D">
        <w:rPr>
          <w:sz w:val="28"/>
          <w:szCs w:val="28"/>
        </w:rPr>
        <w:t>сходов над доходами в сумме 24,2</w:t>
      </w:r>
      <w:r w:rsidRPr="00851A31">
        <w:rPr>
          <w:sz w:val="28"/>
          <w:szCs w:val="28"/>
        </w:rPr>
        <w:t xml:space="preserve"> тыс. </w:t>
      </w:r>
      <w:r w:rsidR="007151C5">
        <w:rPr>
          <w:sz w:val="28"/>
          <w:szCs w:val="28"/>
        </w:rPr>
        <w:t>руб. (Приложение №№ 1-3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567590">
        <w:rPr>
          <w:sz w:val="24"/>
        </w:rPr>
        <w:t>85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906518">
        <w:rPr>
          <w:sz w:val="24"/>
        </w:rPr>
        <w:t>22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906518">
        <w:rPr>
          <w:sz w:val="24"/>
        </w:rPr>
        <w:t>июня</w:t>
      </w:r>
      <w:r w:rsidR="00AA2BA0">
        <w:rPr>
          <w:sz w:val="24"/>
        </w:rPr>
        <w:t xml:space="preserve"> 20</w:t>
      </w:r>
      <w:r w:rsidR="00906518">
        <w:rPr>
          <w:sz w:val="24"/>
        </w:rPr>
        <w:t>20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D659D1">
        <w:rPr>
          <w:sz w:val="24"/>
        </w:rPr>
        <w:t>201</w:t>
      </w:r>
      <w:r w:rsidR="00906518">
        <w:rPr>
          <w:sz w:val="24"/>
        </w:rPr>
        <w:t>9</w:t>
      </w:r>
      <w:r>
        <w:rPr>
          <w:sz w:val="24"/>
        </w:rPr>
        <w:t xml:space="preserve">г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441BD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761063">
        <w:rPr>
          <w:b/>
          <w:sz w:val="24"/>
        </w:rPr>
        <w:t>А 201</w:t>
      </w:r>
      <w:r w:rsidR="00906518">
        <w:rPr>
          <w:b/>
          <w:sz w:val="24"/>
        </w:rPr>
        <w:t>9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906518" w:rsidRPr="00906518" w:rsidTr="00906518">
        <w:trPr>
          <w:trHeight w:val="154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Сумма, </w:t>
            </w:r>
          </w:p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тыс.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114A0B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Сумма, тыс. руб.</w:t>
            </w:r>
          </w:p>
        </w:tc>
      </w:tr>
      <w:tr w:rsidR="00906518" w:rsidRPr="00906518" w:rsidTr="00906518">
        <w:trPr>
          <w:trHeight w:val="55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назначение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исполнение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11364,5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11249,9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182 101 00000 00 0000 000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255,0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170,5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  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255,0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170,5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 доходов, источником которых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является налоговый агент, </w:t>
            </w:r>
            <w:proofErr w:type="gramStart"/>
            <w:r w:rsidRPr="00906518">
              <w:rPr>
                <w:color w:val="000000"/>
              </w:rPr>
              <w:t>за</w:t>
            </w:r>
            <w:proofErr w:type="gramEnd"/>
            <w:r w:rsidRPr="00906518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исключением доходов,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  <w:r w:rsidRPr="00906518">
              <w:rPr>
                <w:color w:val="000000"/>
              </w:rPr>
              <w:t xml:space="preserve"> 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отношении</w:t>
            </w:r>
            <w:proofErr w:type="gramEnd"/>
            <w:r w:rsidRPr="00906518">
              <w:rPr>
                <w:color w:val="000000"/>
              </w:rPr>
              <w:t xml:space="preserve"> которых исчисление 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уплата налога осуществляются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соответствии</w:t>
            </w:r>
            <w:proofErr w:type="gramEnd"/>
            <w:r w:rsidRPr="00906518">
              <w:rPr>
                <w:color w:val="000000"/>
              </w:rPr>
              <w:t xml:space="preserve"> со статьями 227,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227.1 и 228 Налогового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515,4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510,9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182 106 01030 10 0000 110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Налог на имущество физических лиц, взимаемый по ставкам, применяемым к объекту налогообложения, расположенным, в границах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70,0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65,5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882BBB">
        <w:trPr>
          <w:trHeight w:val="276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182 106 06013 10 0000 110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Земельный налог, взимаемый по ставкам, установленным  в соответствии с подпунктом 1 пункта 1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445,4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445,4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882BBB">
        <w:trPr>
          <w:trHeight w:val="276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802 108 00000 00 0000 000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16,8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16,8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882BBB">
        <w:trPr>
          <w:trHeight w:val="276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802 108 04020 01 0000 110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906518">
              <w:rPr>
                <w:color w:val="000000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lastRenderedPageBreak/>
              <w:t>16,8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16,8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802 111 00000 00 0000 000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109,0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92,3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882BBB">
        <w:trPr>
          <w:trHeight w:val="276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</w:t>
            </w:r>
            <w:r w:rsidRPr="00906518">
              <w:rPr>
                <w:b/>
                <w:bCs/>
                <w:color w:val="000000"/>
              </w:rPr>
              <w:t>802 111 09045 10 0000 150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109,0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92,3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27,1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18,2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802 117 05050 10 0000 180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7,1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7,1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802 117 13000 00 0000 180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11,1</w:t>
            </w:r>
          </w:p>
        </w:tc>
      </w:tr>
      <w:tr w:rsidR="00906518" w:rsidRPr="00906518" w:rsidTr="00906518">
        <w:trPr>
          <w:trHeight w:val="322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000 200 00000 00 0000 000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10441,2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10441,2</w:t>
            </w:r>
          </w:p>
        </w:tc>
      </w:tr>
      <w:tr w:rsidR="00906518" w:rsidRPr="00906518" w:rsidTr="00906518">
        <w:trPr>
          <w:trHeight w:val="52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003 202 01000 00 0000 000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6837,2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6837,2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000 202 01001 10 0000 151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2703,2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2703,2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48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000 202 01003 10 00000 151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4134,0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4134,0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48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000  202 20000 00 0000 151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858,1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858,1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49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lastRenderedPageBreak/>
              <w:t>000 202 02999 10 0000 151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858,1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858,1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42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000 202 03015 10 0000 151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Субвенции бюджетам сельским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116,5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116,5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57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000 202 04014 10 00000 151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2629,4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2629,4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55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52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11364,5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11249,9</w:t>
            </w:r>
          </w:p>
        </w:tc>
      </w:tr>
    </w:tbl>
    <w:p w:rsidR="00906518" w:rsidRPr="00FB0EFF" w:rsidRDefault="00906518" w:rsidP="00441BD8">
      <w:pPr>
        <w:pStyle w:val="a6"/>
        <w:rPr>
          <w:b/>
          <w:sz w:val="24"/>
        </w:rPr>
      </w:pPr>
    </w:p>
    <w:p w:rsidR="00627782" w:rsidRDefault="00627782" w:rsidP="00441BD8">
      <w:pPr>
        <w:pStyle w:val="a3"/>
        <w:jc w:val="right"/>
        <w:rPr>
          <w:sz w:val="24"/>
        </w:rPr>
      </w:pPr>
    </w:p>
    <w:tbl>
      <w:tblPr>
        <w:tblW w:w="11568" w:type="dxa"/>
        <w:tblInd w:w="-601" w:type="dxa"/>
        <w:tblLayout w:type="fixed"/>
        <w:tblLook w:val="0000"/>
      </w:tblPr>
      <w:tblGrid>
        <w:gridCol w:w="142"/>
        <w:gridCol w:w="283"/>
        <w:gridCol w:w="433"/>
        <w:gridCol w:w="778"/>
        <w:gridCol w:w="236"/>
        <w:gridCol w:w="138"/>
        <w:gridCol w:w="539"/>
        <w:gridCol w:w="145"/>
        <w:gridCol w:w="122"/>
        <w:gridCol w:w="274"/>
        <w:gridCol w:w="312"/>
        <w:gridCol w:w="358"/>
        <w:gridCol w:w="72"/>
        <w:gridCol w:w="137"/>
        <w:gridCol w:w="219"/>
        <w:gridCol w:w="348"/>
        <w:gridCol w:w="1134"/>
        <w:gridCol w:w="791"/>
        <w:gridCol w:w="60"/>
        <w:gridCol w:w="425"/>
        <w:gridCol w:w="176"/>
        <w:gridCol w:w="249"/>
        <w:gridCol w:w="111"/>
        <w:gridCol w:w="432"/>
        <w:gridCol w:w="450"/>
        <w:gridCol w:w="141"/>
        <w:gridCol w:w="2127"/>
        <w:gridCol w:w="936"/>
      </w:tblGrid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FD0032">
            <w:pPr>
              <w:pStyle w:val="a3"/>
              <w:rPr>
                <w:sz w:val="24"/>
              </w:rPr>
            </w:pPr>
          </w:p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321D34" w:rsidRDefault="00321D34" w:rsidP="00FD0032">
            <w:pPr>
              <w:pStyle w:val="a3"/>
              <w:rPr>
                <w:sz w:val="24"/>
              </w:rPr>
            </w:pPr>
          </w:p>
        </w:tc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D34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</w:t>
            </w:r>
          </w:p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C262CE" w:rsidRDefault="00C262CE" w:rsidP="00321D34">
            <w:pPr>
              <w:pStyle w:val="a3"/>
              <w:jc w:val="right"/>
              <w:rPr>
                <w:sz w:val="24"/>
              </w:rPr>
            </w:pPr>
          </w:p>
          <w:p w:rsidR="00882BBB" w:rsidRDefault="00882BBB" w:rsidP="00321D34">
            <w:pPr>
              <w:pStyle w:val="a3"/>
              <w:jc w:val="right"/>
              <w:rPr>
                <w:sz w:val="24"/>
              </w:rPr>
            </w:pPr>
          </w:p>
          <w:p w:rsidR="00882BBB" w:rsidRDefault="00882BBB" w:rsidP="00321D34">
            <w:pPr>
              <w:pStyle w:val="a3"/>
              <w:jc w:val="right"/>
              <w:rPr>
                <w:sz w:val="24"/>
              </w:rPr>
            </w:pPr>
          </w:p>
          <w:p w:rsidR="001A01A7" w:rsidRDefault="001A01A7" w:rsidP="00321D3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2</w:t>
            </w:r>
          </w:p>
          <w:p w:rsidR="001A01A7" w:rsidRPr="00272AC7" w:rsidRDefault="001A01A7" w:rsidP="00321D3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A70604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     </w:t>
            </w:r>
            <w:r w:rsidRPr="00272AC7">
              <w:rPr>
                <w:sz w:val="24"/>
              </w:rPr>
              <w:t xml:space="preserve">К Решению Совета сельского </w:t>
            </w:r>
          </w:p>
          <w:p w:rsidR="001A01A7" w:rsidRPr="00272AC7" w:rsidRDefault="001A01A7" w:rsidP="00321D3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A70604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Поселения «Хушенгинское» №</w:t>
            </w:r>
            <w:r w:rsidR="00567590">
              <w:rPr>
                <w:sz w:val="24"/>
              </w:rPr>
              <w:t>85</w:t>
            </w:r>
            <w:r w:rsidR="00C262CE"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C262CE">
              <w:rPr>
                <w:sz w:val="24"/>
              </w:rPr>
              <w:t>«22</w:t>
            </w:r>
            <w:r w:rsidR="00AA2BA0">
              <w:rPr>
                <w:sz w:val="24"/>
              </w:rPr>
              <w:t>»</w:t>
            </w:r>
            <w:r w:rsidR="00C262CE">
              <w:rPr>
                <w:sz w:val="24"/>
              </w:rPr>
              <w:t xml:space="preserve"> июня</w:t>
            </w:r>
            <w:r w:rsidR="00AA2BA0">
              <w:rPr>
                <w:sz w:val="24"/>
              </w:rPr>
              <w:t xml:space="preserve"> </w:t>
            </w:r>
            <w:r w:rsidR="00C262CE">
              <w:rPr>
                <w:sz w:val="24"/>
              </w:rPr>
              <w:t>2020</w:t>
            </w:r>
            <w:r w:rsidRPr="00272AC7">
              <w:rPr>
                <w:sz w:val="24"/>
              </w:rPr>
              <w:t>г.</w:t>
            </w:r>
          </w:p>
          <w:p w:rsidR="001A01A7" w:rsidRPr="00272AC7" w:rsidRDefault="001A01A7" w:rsidP="00321D3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«О</w:t>
            </w:r>
            <w:r w:rsidR="00353DAE">
              <w:rPr>
                <w:sz w:val="24"/>
              </w:rPr>
              <w:t>б исполнении бюджета</w:t>
            </w:r>
            <w:r>
              <w:rPr>
                <w:sz w:val="24"/>
              </w:rPr>
              <w:t xml:space="preserve">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1A01A7" w:rsidP="00321D34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поселения «Хушенгинское» </w:t>
            </w:r>
            <w:r w:rsidR="00353DAE">
              <w:rPr>
                <w:sz w:val="24"/>
              </w:rPr>
              <w:t>з</w:t>
            </w:r>
            <w:r w:rsidR="00AA2BA0">
              <w:rPr>
                <w:sz w:val="24"/>
              </w:rPr>
              <w:t>а</w:t>
            </w:r>
            <w:r>
              <w:rPr>
                <w:sz w:val="24"/>
              </w:rPr>
              <w:t xml:space="preserve"> 201</w:t>
            </w:r>
            <w:r w:rsidR="00C262CE">
              <w:rPr>
                <w:sz w:val="24"/>
              </w:rPr>
              <w:t>9</w:t>
            </w:r>
            <w:r>
              <w:rPr>
                <w:sz w:val="24"/>
              </w:rPr>
              <w:t>г</w:t>
            </w:r>
            <w:r w:rsidR="00567590">
              <w:rPr>
                <w:sz w:val="24"/>
              </w:rPr>
              <w:t>.»</w:t>
            </w:r>
            <w:r>
              <w:rPr>
                <w:sz w:val="24"/>
              </w:rPr>
              <w:t xml:space="preserve">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822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7151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ФУНКЦИОНАЛЬНАЯ СТРУКТУРА РАСХОДОВ БЮДЖЕТА СЕЛЬСКОГО ПОСЕЛЕНИЯ "ХУШЕНГИНСКОЕ" НА 201</w:t>
            </w:r>
            <w:r w:rsidR="00C262C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822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63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114A0B" w:rsidP="00FD14D8">
            <w:pPr>
              <w:jc w:val="center"/>
              <w:rPr>
                <w:bCs/>
                <w:sz w:val="22"/>
                <w:szCs w:val="22"/>
              </w:rPr>
            </w:pPr>
            <w:r w:rsidRPr="00114A0B">
              <w:rPr>
                <w:bCs/>
                <w:sz w:val="22"/>
                <w:szCs w:val="22"/>
              </w:rPr>
              <w:t>5838,3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114A0B" w:rsidRDefault="00114A0B" w:rsidP="00FD14D8">
            <w:pPr>
              <w:jc w:val="center"/>
              <w:rPr>
                <w:bCs/>
                <w:sz w:val="22"/>
                <w:szCs w:val="22"/>
              </w:rPr>
            </w:pPr>
            <w:r w:rsidRPr="00114A0B">
              <w:rPr>
                <w:bCs/>
                <w:sz w:val="22"/>
                <w:szCs w:val="22"/>
              </w:rPr>
              <w:t>5714,5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551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C262CE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608,5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C262CE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608,5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52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1A01A7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1</w:t>
            </w:r>
            <w:r w:rsidR="00C262CE" w:rsidRPr="00114A0B">
              <w:rPr>
                <w:sz w:val="22"/>
                <w:szCs w:val="22"/>
              </w:rPr>
              <w:t>680,4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C262CE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1631,9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8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C262CE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3</w:t>
            </w:r>
            <w:r w:rsidR="008D38E9" w:rsidRPr="00114A0B">
              <w:rPr>
                <w:sz w:val="22"/>
                <w:szCs w:val="22"/>
              </w:rPr>
              <w:t>549,4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C262CE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34</w:t>
            </w:r>
            <w:r w:rsidR="008D38E9" w:rsidRPr="00114A0B">
              <w:rPr>
                <w:sz w:val="22"/>
                <w:szCs w:val="22"/>
              </w:rPr>
              <w:t>74,1</w:t>
            </w:r>
          </w:p>
        </w:tc>
      </w:tr>
      <w:tr w:rsidR="00E32CF8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E32CF8" w:rsidP="00114A0B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E32CF8" w:rsidP="00114A0B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116,5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7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1A01A7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1</w:t>
            </w:r>
            <w:r w:rsidR="00E32CF8" w:rsidRPr="00114A0B">
              <w:rPr>
                <w:sz w:val="22"/>
                <w:szCs w:val="22"/>
              </w:rPr>
              <w:t>16,5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E32CF8" w:rsidP="00FD14D8">
            <w:pPr>
              <w:jc w:val="center"/>
              <w:rPr>
                <w:sz w:val="22"/>
                <w:szCs w:val="22"/>
              </w:rPr>
            </w:pPr>
            <w:r w:rsidRPr="00114A0B">
              <w:rPr>
                <w:sz w:val="22"/>
                <w:szCs w:val="22"/>
              </w:rPr>
              <w:t>116,5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4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088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1A01A7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1</w:t>
            </w:r>
            <w:r w:rsidR="00E32CF8" w:rsidRPr="00114A0B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E32CF8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142,2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50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39,2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39,2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103,0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103,0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8F67F6" w:rsidRDefault="001A01A7" w:rsidP="00FD14D8">
            <w:pPr>
              <w:jc w:val="center"/>
              <w:rPr>
                <w:b/>
              </w:rPr>
            </w:pPr>
            <w:r w:rsidRPr="008F67F6">
              <w:rPr>
                <w:b/>
              </w:rPr>
              <w:t>0409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Pr="008F67F6" w:rsidRDefault="001A01A7" w:rsidP="00FD14D8">
            <w:pPr>
              <w:jc w:val="center"/>
              <w:rPr>
                <w:b/>
              </w:rPr>
            </w:pPr>
            <w:r w:rsidRPr="008F67F6">
              <w:rPr>
                <w:b/>
              </w:rPr>
              <w:t>Дорожное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1418,0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1418,0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E32CF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811,9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E32CF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811,9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11,0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0503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800,9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8D38E9" w:rsidP="00FD14D8">
            <w:pPr>
              <w:jc w:val="center"/>
              <w:rPr>
                <w:b/>
                <w:sz w:val="22"/>
                <w:szCs w:val="22"/>
              </w:rPr>
            </w:pPr>
            <w:r w:rsidRPr="00114A0B">
              <w:rPr>
                <w:b/>
                <w:sz w:val="22"/>
                <w:szCs w:val="22"/>
              </w:rPr>
              <w:t>800,9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39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E32CF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2689,3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41" w:rsidRPr="00114A0B" w:rsidRDefault="00E32CF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2689,3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42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0801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Pr="00112222" w:rsidRDefault="001A01A7" w:rsidP="00FD14D8">
            <w:pPr>
              <w:jc w:val="center"/>
              <w:rPr>
                <w:b/>
              </w:rPr>
            </w:pPr>
            <w:r w:rsidRPr="00112222">
              <w:rPr>
                <w:b/>
              </w:rPr>
              <w:t>культура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20736C" w:rsidRDefault="00E32CF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2679,8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41" w:rsidRDefault="00E32CF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2679,8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E32CF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381,7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114A0B" w:rsidRDefault="00E32CF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0B">
              <w:rPr>
                <w:b/>
                <w:bCs/>
                <w:sz w:val="22"/>
                <w:szCs w:val="22"/>
              </w:rPr>
              <w:t>381,7</w:t>
            </w:r>
          </w:p>
        </w:tc>
      </w:tr>
      <w:tr w:rsidR="00E32CF8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</w:pPr>
            <w:r>
              <w:t>1001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20736C" w:rsidRDefault="00E32CF8" w:rsidP="00114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Default="00E32CF8" w:rsidP="00114A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378,3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1403</w:t>
            </w: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20736C" w:rsidRDefault="001A01A7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32CF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Default="00E32CF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</w:p>
        </w:tc>
        <w:tc>
          <w:tcPr>
            <w:tcW w:w="60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20736C" w:rsidRDefault="00114A0B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11397,9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Default="00114A0B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11274,1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220803"/>
        </w:tc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 w:rsidP="00220803"/>
          <w:p w:rsidR="001A01A7" w:rsidRDefault="001A01A7" w:rsidP="00771B0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</w:t>
            </w: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6970AB" w:rsidRDefault="006970AB" w:rsidP="00771B0A">
            <w:pPr>
              <w:pStyle w:val="a3"/>
              <w:jc w:val="left"/>
              <w:rPr>
                <w:sz w:val="24"/>
              </w:rPr>
            </w:pPr>
          </w:p>
          <w:p w:rsidR="00FD14D8" w:rsidRDefault="00FD14D8" w:rsidP="00771B0A">
            <w:pPr>
              <w:pStyle w:val="a3"/>
              <w:jc w:val="left"/>
              <w:rPr>
                <w:sz w:val="24"/>
              </w:rPr>
            </w:pPr>
          </w:p>
          <w:p w:rsidR="001A01A7" w:rsidRPr="00272AC7" w:rsidRDefault="001A01A7" w:rsidP="00FD14D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                                 Приложение 3</w:t>
            </w:r>
          </w:p>
          <w:p w:rsidR="001A01A7" w:rsidRPr="00272AC7" w:rsidRDefault="001A01A7" w:rsidP="006C2B72">
            <w:pPr>
              <w:pStyle w:val="a3"/>
              <w:ind w:left="-250" w:firstLine="2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 w:rsidRPr="00272AC7">
              <w:rPr>
                <w:sz w:val="24"/>
              </w:rPr>
              <w:t xml:space="preserve">К Решению Совета сельского </w:t>
            </w:r>
          </w:p>
          <w:p w:rsidR="001A01A7" w:rsidRPr="00272AC7" w:rsidRDefault="001A01A7" w:rsidP="00FD14D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353DAE">
              <w:rPr>
                <w:sz w:val="24"/>
              </w:rPr>
              <w:t xml:space="preserve">        </w:t>
            </w:r>
            <w:r>
              <w:rPr>
                <w:sz w:val="24"/>
              </w:rPr>
              <w:t>Поселения «Хушенгинское» №</w:t>
            </w:r>
            <w:r w:rsidR="00567590">
              <w:rPr>
                <w:sz w:val="24"/>
              </w:rPr>
              <w:t>85</w:t>
            </w:r>
            <w:r w:rsidR="00114A0B"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114A0B">
              <w:rPr>
                <w:sz w:val="24"/>
              </w:rPr>
              <w:t>«22</w:t>
            </w:r>
            <w:r w:rsidR="00AA2BA0">
              <w:rPr>
                <w:sz w:val="24"/>
              </w:rPr>
              <w:t>»</w:t>
            </w:r>
            <w:r w:rsidR="00114A0B">
              <w:rPr>
                <w:sz w:val="24"/>
              </w:rPr>
              <w:t xml:space="preserve"> июня 2020</w:t>
            </w:r>
            <w:r w:rsidRPr="00272AC7">
              <w:rPr>
                <w:sz w:val="24"/>
              </w:rPr>
              <w:t>г.</w:t>
            </w:r>
          </w:p>
          <w:p w:rsidR="001A01A7" w:rsidRPr="00272AC7" w:rsidRDefault="001A01A7" w:rsidP="00FD14D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353DAE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«О</w:t>
            </w:r>
            <w:r w:rsidR="00353DAE">
              <w:rPr>
                <w:sz w:val="24"/>
              </w:rPr>
              <w:t>б исполнении бюджета</w:t>
            </w:r>
            <w:r>
              <w:rPr>
                <w:sz w:val="24"/>
              </w:rPr>
              <w:t xml:space="preserve">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1A01A7" w:rsidP="00FD14D8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 w:rsidR="00353DAE">
              <w:rPr>
                <w:sz w:val="24"/>
              </w:rPr>
              <w:t xml:space="preserve">          </w:t>
            </w:r>
            <w:r>
              <w:rPr>
                <w:sz w:val="24"/>
              </w:rPr>
              <w:t>п</w:t>
            </w:r>
            <w:r w:rsidR="00353DAE">
              <w:rPr>
                <w:sz w:val="24"/>
              </w:rPr>
              <w:t>оселения «Хушенгинское» з</w:t>
            </w:r>
            <w:r>
              <w:rPr>
                <w:sz w:val="24"/>
              </w:rPr>
              <w:t>а  201</w:t>
            </w:r>
            <w:r w:rsidR="00114A0B">
              <w:rPr>
                <w:sz w:val="24"/>
              </w:rPr>
              <w:t>9</w:t>
            </w:r>
            <w:r w:rsidR="00353DAE">
              <w:rPr>
                <w:sz w:val="24"/>
              </w:rPr>
              <w:t>г</w:t>
            </w:r>
            <w:r w:rsidR="00567590">
              <w:rPr>
                <w:sz w:val="24"/>
              </w:rPr>
              <w:t>.»</w:t>
            </w:r>
            <w:r w:rsidR="00353DAE">
              <w:rPr>
                <w:sz w:val="24"/>
              </w:rPr>
              <w:t xml:space="preserve"> </w:t>
            </w:r>
          </w:p>
          <w:p w:rsidR="001A01A7" w:rsidRPr="00272AC7" w:rsidRDefault="001A01A7" w:rsidP="00771B0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1A01A7" w:rsidTr="00882BBB">
        <w:trPr>
          <w:gridBefore w:val="1"/>
          <w:gridAfter w:val="1"/>
          <w:wBefore w:w="142" w:type="dxa"/>
          <w:wAfter w:w="93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"ХУШЕНГИНСКОЕ"</w:t>
            </w:r>
          </w:p>
          <w:p w:rsidR="00114A0B" w:rsidRDefault="00114A0B">
            <w:pPr>
              <w:jc w:val="center"/>
              <w:rPr>
                <w:b/>
                <w:bCs/>
              </w:rPr>
            </w:pPr>
          </w:p>
          <w:tbl>
            <w:tblPr>
              <w:tblW w:w="10084" w:type="dxa"/>
              <w:tblLayout w:type="fixed"/>
              <w:tblLook w:val="04A0"/>
            </w:tblPr>
            <w:tblGrid>
              <w:gridCol w:w="2996"/>
              <w:gridCol w:w="709"/>
              <w:gridCol w:w="567"/>
              <w:gridCol w:w="567"/>
              <w:gridCol w:w="1417"/>
              <w:gridCol w:w="709"/>
              <w:gridCol w:w="709"/>
              <w:gridCol w:w="1276"/>
              <w:gridCol w:w="1134"/>
            </w:tblGrid>
            <w:tr w:rsidR="00114A0B" w:rsidTr="006C2B72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114A0B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ГлРсп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Рзд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Цс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ЭкСт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назнач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исполн</w:t>
                  </w:r>
                  <w:proofErr w:type="spellEnd"/>
                </w:p>
              </w:tc>
            </w:tr>
            <w:tr w:rsidR="00114A0B" w:rsidTr="006C2B72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114A0B" w:rsidTr="006C2B72">
              <w:trPr>
                <w:trHeight w:val="9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5702,5</w:t>
                  </w:r>
                </w:p>
              </w:tc>
            </w:tr>
            <w:tr w:rsidR="00114A0B" w:rsidTr="006C2B72">
              <w:trPr>
                <w:trHeight w:val="112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608,5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608,5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608,5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468,3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468,3</w:t>
                  </w:r>
                </w:p>
              </w:tc>
            </w:tr>
            <w:tr w:rsidR="00114A0B" w:rsidTr="006C2B72">
              <w:trPr>
                <w:trHeight w:val="70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Начисления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136,4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136,4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Pr="006C2B72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2B72">
                    <w:rPr>
                      <w:b/>
                      <w:bCs/>
                      <w:color w:val="000000"/>
                    </w:rPr>
                    <w:t>608,5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Pr="006C2B72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2B72">
                    <w:rPr>
                      <w:b/>
                      <w:bCs/>
                      <w:color w:val="000000"/>
                    </w:rPr>
                    <w:t>608,5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13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1631,9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1631,9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1041,3</w:t>
                  </w:r>
                </w:p>
              </w:tc>
            </w:tr>
            <w:tr w:rsidR="00114A0B" w:rsidTr="006C2B72">
              <w:trPr>
                <w:trHeight w:val="73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307,0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62,5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6,0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35,4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38,0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0,4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20,5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Страхование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4,0</w:t>
                  </w:r>
                </w:p>
              </w:tc>
            </w:tr>
            <w:tr w:rsidR="00114A0B" w:rsidTr="006C2B72">
              <w:trPr>
                <w:trHeight w:val="36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106,1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1631,9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10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 (реализация государственных функций связанных с общегосударственным управлением)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3412,1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2422</w:t>
                  </w:r>
                </w:p>
              </w:tc>
            </w:tr>
            <w:tr w:rsidR="00114A0B" w:rsidTr="006C2B72">
              <w:trPr>
                <w:trHeight w:val="84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70,8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Начисления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738,6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738,6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48,2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63,4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59,6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3462,1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115,8</w:t>
                  </w:r>
                </w:p>
              </w:tc>
            </w:tr>
            <w:tr w:rsidR="00114A0B" w:rsidTr="006C2B72">
              <w:trPr>
                <w:trHeight w:val="69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115,8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88,2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116,5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12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10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Предупреждение и ликвидация последствий чрезвычайных ситуации,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115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органов в сфере национальной безопасности, правоохранительной деятельности и обороны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72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114A0B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38,2</w:t>
                  </w:r>
                </w:p>
              </w:tc>
            </w:tr>
            <w:tr w:rsidR="00114A0B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103,0</w:t>
                  </w:r>
                </w:p>
              </w:tc>
            </w:tr>
            <w:tr w:rsidR="00114A0B" w:rsidTr="006C2B72">
              <w:trPr>
                <w:trHeight w:val="67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1418,0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583,5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827,7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1418,0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0000035005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67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0000035005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Уплата прочих налогов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79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трансферты, в части передаваемых полномочий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Межбюджетные трансферты в части передаваемых полномочий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67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6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114A0B" w:rsidTr="006C2B72">
              <w:trPr>
                <w:trHeight w:val="9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Другие вопросы в области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жилищн-коммунального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780,9</w:t>
                  </w:r>
                </w:p>
              </w:tc>
            </w:tr>
            <w:tr w:rsidR="00114A0B" w:rsidTr="006C2B72">
              <w:trPr>
                <w:trHeight w:val="79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000005505М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773,1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773,1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773,1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773,1</w:t>
                  </w:r>
                </w:p>
              </w:tc>
            </w:tr>
            <w:tr w:rsidR="00114A0B" w:rsidTr="006C2B72">
              <w:trPr>
                <w:trHeight w:val="69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00000Ц505М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780,9</w:t>
                  </w:r>
                </w:p>
              </w:tc>
            </w:tr>
            <w:tr w:rsidR="00114A0B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Межбюджетные трансферты в части передаваемых полномочий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9,5</w:t>
                  </w:r>
                </w:p>
              </w:tc>
            </w:tr>
            <w:tr w:rsidR="00114A0B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9,5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2679,8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2679,8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1821,7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1821,7</w:t>
                  </w:r>
                </w:p>
              </w:tc>
            </w:tr>
            <w:tr w:rsidR="00114A0B" w:rsidTr="006C2B72">
              <w:trPr>
                <w:trHeight w:val="7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Дворцы и дома культуры, другие учреждения культуры и 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</w:tr>
            <w:tr w:rsidR="00114A0B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1433,8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Библиотеки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387,9</w:t>
                  </w:r>
                </w:p>
              </w:tc>
            </w:tr>
            <w:tr w:rsidR="00114A0B" w:rsidTr="006C2B72">
              <w:trPr>
                <w:trHeight w:val="10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00000S8180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858,1</w:t>
                  </w:r>
                </w:p>
              </w:tc>
            </w:tr>
            <w:tr w:rsidR="00114A0B" w:rsidTr="006C2B72">
              <w:trPr>
                <w:trHeight w:val="7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00000S8180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858,1</w:t>
                  </w:r>
                </w:p>
              </w:tc>
            </w:tr>
            <w:tr w:rsidR="00114A0B" w:rsidTr="006C2B72">
              <w:trPr>
                <w:trHeight w:val="7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858,1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ДОПЛАТЫ К ПЕНСИЯМ ДОПОЛНИТЕЛЬНОЕ ПЕНСИОННОЕ ОБЕСПЕЧЕНИЕ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Доплаты к пенсиям государственных служащих субъектов РФ и муниципальным служащим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</w:tr>
            <w:tr w:rsidR="00114A0B" w:rsidTr="006C2B72">
              <w:trPr>
                <w:trHeight w:val="7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378,3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Перечисления другим бюджетам бюджетной системой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11397,9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11274,1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14A0B" w:rsidRDefault="00114A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114A0B" w:rsidRDefault="00114A0B">
            <w:pPr>
              <w:jc w:val="center"/>
              <w:rPr>
                <w:b/>
                <w:bCs/>
              </w:rPr>
            </w:pPr>
          </w:p>
        </w:tc>
      </w:tr>
      <w:tr w:rsidR="00FD14D8" w:rsidTr="00882BBB">
        <w:trPr>
          <w:gridBefore w:val="1"/>
          <w:gridAfter w:val="1"/>
          <w:wBefore w:w="142" w:type="dxa"/>
          <w:wAfter w:w="936" w:type="dxa"/>
          <w:trHeight w:val="330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70604" w:rsidTr="00882BBB">
        <w:trPr>
          <w:trHeight w:val="255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604" w:rsidRDefault="00A706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36A08" w:rsidRDefault="00536A08" w:rsidP="00A90ADF">
      <w:pPr>
        <w:jc w:val="both"/>
        <w:rPr>
          <w:sz w:val="28"/>
          <w:szCs w:val="28"/>
        </w:rPr>
      </w:pPr>
    </w:p>
    <w:sectPr w:rsidR="00536A08" w:rsidSect="00E708C1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46" w:rsidRDefault="00D71646">
      <w:r>
        <w:separator/>
      </w:r>
    </w:p>
  </w:endnote>
  <w:endnote w:type="continuationSeparator" w:id="0">
    <w:p w:rsidR="00D71646" w:rsidRDefault="00D7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C5" w:rsidRDefault="00937D3E" w:rsidP="00D97C1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B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BC5" w:rsidRDefault="00942BC5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C5" w:rsidRDefault="00937D3E" w:rsidP="00D97C1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2B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2BBB">
      <w:rPr>
        <w:rStyle w:val="a9"/>
        <w:noProof/>
      </w:rPr>
      <w:t>11</w:t>
    </w:r>
    <w:r>
      <w:rPr>
        <w:rStyle w:val="a9"/>
      </w:rPr>
      <w:fldChar w:fldCharType="end"/>
    </w:r>
  </w:p>
  <w:p w:rsidR="00942BC5" w:rsidRDefault="00942BC5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46" w:rsidRDefault="00D71646">
      <w:r>
        <w:separator/>
      </w:r>
    </w:p>
  </w:footnote>
  <w:footnote w:type="continuationSeparator" w:id="0">
    <w:p w:rsidR="00D71646" w:rsidRDefault="00D7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1232"/>
    <w:rsid w:val="000844DA"/>
    <w:rsid w:val="000859EF"/>
    <w:rsid w:val="00086BE6"/>
    <w:rsid w:val="000870C5"/>
    <w:rsid w:val="00087C1C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7B5F"/>
    <w:rsid w:val="000F12EB"/>
    <w:rsid w:val="000F5062"/>
    <w:rsid w:val="000F7079"/>
    <w:rsid w:val="00100666"/>
    <w:rsid w:val="001012AA"/>
    <w:rsid w:val="00101944"/>
    <w:rsid w:val="00101D59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80170"/>
    <w:rsid w:val="00182B17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1749"/>
    <w:rsid w:val="001C26B9"/>
    <w:rsid w:val="001C4027"/>
    <w:rsid w:val="001C6F2E"/>
    <w:rsid w:val="001D37E6"/>
    <w:rsid w:val="001D464C"/>
    <w:rsid w:val="001D47C5"/>
    <w:rsid w:val="001D64AF"/>
    <w:rsid w:val="001D67BB"/>
    <w:rsid w:val="001D74E6"/>
    <w:rsid w:val="001D7FFB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A15"/>
    <w:rsid w:val="00237CF8"/>
    <w:rsid w:val="00241F1C"/>
    <w:rsid w:val="00241F3C"/>
    <w:rsid w:val="00243246"/>
    <w:rsid w:val="00247C9F"/>
    <w:rsid w:val="00247D4B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D1A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BD8"/>
    <w:rsid w:val="004428E7"/>
    <w:rsid w:val="004453AE"/>
    <w:rsid w:val="00450AE5"/>
    <w:rsid w:val="0045550A"/>
    <w:rsid w:val="00461854"/>
    <w:rsid w:val="004665E8"/>
    <w:rsid w:val="00466B26"/>
    <w:rsid w:val="00470C66"/>
    <w:rsid w:val="00471348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D62"/>
    <w:rsid w:val="00581EA9"/>
    <w:rsid w:val="00581FE6"/>
    <w:rsid w:val="00586E88"/>
    <w:rsid w:val="00587856"/>
    <w:rsid w:val="00597BAF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4C08"/>
    <w:rsid w:val="005F64DD"/>
    <w:rsid w:val="005F7E40"/>
    <w:rsid w:val="00600B3A"/>
    <w:rsid w:val="00601F8E"/>
    <w:rsid w:val="00602D0D"/>
    <w:rsid w:val="00604B8E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5432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571C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F213D"/>
    <w:rsid w:val="006F6DEA"/>
    <w:rsid w:val="0070056B"/>
    <w:rsid w:val="007008CC"/>
    <w:rsid w:val="00700B0E"/>
    <w:rsid w:val="0070135A"/>
    <w:rsid w:val="00701F55"/>
    <w:rsid w:val="00712EFB"/>
    <w:rsid w:val="00714243"/>
    <w:rsid w:val="007151C5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4521"/>
    <w:rsid w:val="007D4A41"/>
    <w:rsid w:val="007E4983"/>
    <w:rsid w:val="007E669D"/>
    <w:rsid w:val="007E7AE4"/>
    <w:rsid w:val="007F47B2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6047E"/>
    <w:rsid w:val="008614E0"/>
    <w:rsid w:val="0086397D"/>
    <w:rsid w:val="008718DE"/>
    <w:rsid w:val="00877BB2"/>
    <w:rsid w:val="0088082F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55E9"/>
    <w:rsid w:val="009567B2"/>
    <w:rsid w:val="00957D08"/>
    <w:rsid w:val="00972060"/>
    <w:rsid w:val="0097276B"/>
    <w:rsid w:val="00972D00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6A41"/>
    <w:rsid w:val="009E6CB7"/>
    <w:rsid w:val="009F2784"/>
    <w:rsid w:val="009F3C25"/>
    <w:rsid w:val="009F40E9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63A2"/>
    <w:rsid w:val="00A87D9F"/>
    <w:rsid w:val="00A90ADF"/>
    <w:rsid w:val="00A915E6"/>
    <w:rsid w:val="00A96B1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694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625B8"/>
    <w:rsid w:val="00B6354B"/>
    <w:rsid w:val="00B667C2"/>
    <w:rsid w:val="00B66B7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78B1"/>
    <w:rsid w:val="00BE2224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5762"/>
    <w:rsid w:val="00C262CE"/>
    <w:rsid w:val="00C265C3"/>
    <w:rsid w:val="00C312F2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6671"/>
    <w:rsid w:val="00C91069"/>
    <w:rsid w:val="00C9275A"/>
    <w:rsid w:val="00C948A6"/>
    <w:rsid w:val="00C964C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67A7"/>
    <w:rsid w:val="00D3021C"/>
    <w:rsid w:val="00D36265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E6E"/>
    <w:rsid w:val="00DC6F4B"/>
    <w:rsid w:val="00DD1264"/>
    <w:rsid w:val="00DD13FD"/>
    <w:rsid w:val="00DD5289"/>
    <w:rsid w:val="00DD6D98"/>
    <w:rsid w:val="00DD7372"/>
    <w:rsid w:val="00DE0493"/>
    <w:rsid w:val="00DE461B"/>
    <w:rsid w:val="00DE69BC"/>
    <w:rsid w:val="00DF03B8"/>
    <w:rsid w:val="00DF1B09"/>
    <w:rsid w:val="00DF232F"/>
    <w:rsid w:val="00DF4C4D"/>
    <w:rsid w:val="00DF52C8"/>
    <w:rsid w:val="00DF6739"/>
    <w:rsid w:val="00DF6807"/>
    <w:rsid w:val="00DF71EA"/>
    <w:rsid w:val="00E02055"/>
    <w:rsid w:val="00E05AB9"/>
    <w:rsid w:val="00E1583F"/>
    <w:rsid w:val="00E1613F"/>
    <w:rsid w:val="00E16B72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6F35"/>
    <w:rsid w:val="00F37A13"/>
    <w:rsid w:val="00F4428B"/>
    <w:rsid w:val="00F4593E"/>
    <w:rsid w:val="00F45EEB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A29BE"/>
    <w:rsid w:val="00FB1D6F"/>
    <w:rsid w:val="00FB3205"/>
    <w:rsid w:val="00FB33C5"/>
    <w:rsid w:val="00FB3F7F"/>
    <w:rsid w:val="00FC2DC1"/>
    <w:rsid w:val="00FC416F"/>
    <w:rsid w:val="00FD0032"/>
    <w:rsid w:val="00FD14D8"/>
    <w:rsid w:val="00FD2384"/>
    <w:rsid w:val="00FD7A13"/>
    <w:rsid w:val="00FE0973"/>
    <w:rsid w:val="00FE0FB4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rsid w:val="004428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28E7"/>
  </w:style>
  <w:style w:type="paragraph" w:styleId="aa">
    <w:name w:val="header"/>
    <w:basedOn w:val="a"/>
    <w:link w:val="ab"/>
    <w:rsid w:val="00E562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D28E-07F6-4E96-B380-8FBA7CB5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5</cp:revision>
  <cp:lastPrinted>2016-02-16T02:12:00Z</cp:lastPrinted>
  <dcterms:created xsi:type="dcterms:W3CDTF">2020-06-26T09:49:00Z</dcterms:created>
  <dcterms:modified xsi:type="dcterms:W3CDTF">2020-07-23T02:34:00Z</dcterms:modified>
</cp:coreProperties>
</file>