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DE1C1E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E1C1E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 мая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60FF1" w:rsidRPr="00B60FF1">
        <w:rPr>
          <w:rFonts w:ascii="Times New Roman" w:hAnsi="Times New Roman" w:cs="Times New Roman"/>
          <w:b/>
          <w:sz w:val="26"/>
          <w:szCs w:val="26"/>
          <w:u w:val="single"/>
        </w:rPr>
        <w:t>469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F56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1326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E7980">
        <w:rPr>
          <w:rFonts w:ascii="Times New Roman" w:hAnsi="Times New Roman" w:cs="Times New Roman"/>
          <w:b/>
          <w:bCs/>
          <w:sz w:val="28"/>
          <w:szCs w:val="28"/>
        </w:rPr>
        <w:t>блатуй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9E7980" w:rsidRPr="009E798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DE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F6609B">
        <w:rPr>
          <w:rFonts w:ascii="Times New Roman" w:hAnsi="Times New Roman"/>
          <w:sz w:val="28"/>
          <w:szCs w:val="28"/>
        </w:rPr>
        <w:t xml:space="preserve"> и. 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</w:t>
      </w:r>
      <w:r w:rsidR="002A2D0C">
        <w:rPr>
          <w:rFonts w:ascii="Times New Roman" w:hAnsi="Times New Roman"/>
          <w:sz w:val="28"/>
          <w:szCs w:val="28"/>
        </w:rPr>
        <w:t>ьного района «Улётовский район»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далее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B42AAA">
        <w:rPr>
          <w:rFonts w:ascii="Times New Roman" w:hAnsi="Times New Roman"/>
          <w:sz w:val="28"/>
          <w:szCs w:val="28"/>
        </w:rPr>
        <w:t xml:space="preserve">.2 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9E7980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DE1C1E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2A2D0C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сельского поселения «</w:t>
      </w:r>
      <w:r w:rsidR="009E7980" w:rsidRPr="009E7980">
        <w:rPr>
          <w:rFonts w:ascii="Times New Roman" w:hAnsi="Times New Roman"/>
          <w:sz w:val="28"/>
          <w:szCs w:val="28"/>
        </w:rPr>
        <w:t>Аблатуйское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567363" w:rsidRDefault="00567363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E65EAE" w:rsidRPr="00E65EAE">
        <w:rPr>
          <w:rFonts w:ascii="Times New Roman" w:hAnsi="Times New Roman"/>
          <w:sz w:val="28"/>
          <w:szCs w:val="28"/>
        </w:rPr>
        <w:t>пут</w:t>
      </w:r>
      <w:r w:rsidR="0027654E">
        <w:rPr>
          <w:rFonts w:ascii="Times New Roman" w:hAnsi="Times New Roman"/>
          <w:sz w:val="28"/>
          <w:szCs w:val="28"/>
        </w:rPr>
        <w:t>ё</w:t>
      </w:r>
      <w:r w:rsidR="00E65EAE" w:rsidRPr="00E65EAE">
        <w:rPr>
          <w:rFonts w:ascii="Times New Roman" w:hAnsi="Times New Roman"/>
          <w:sz w:val="28"/>
          <w:szCs w:val="28"/>
        </w:rPr>
        <w:t xml:space="preserve">м размещения </w:t>
      </w:r>
      <w:r w:rsidR="0027654E">
        <w:rPr>
          <w:rFonts w:ascii="Times New Roman" w:hAnsi="Times New Roman"/>
          <w:sz w:val="28"/>
          <w:szCs w:val="28"/>
        </w:rPr>
        <w:t xml:space="preserve">(обнародования) </w:t>
      </w:r>
      <w:r w:rsidR="00E65EAE" w:rsidRPr="00E65EAE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</w:t>
      </w:r>
      <w:r w:rsidR="002A2D0C">
        <w:rPr>
          <w:rFonts w:ascii="Times New Roman" w:hAnsi="Times New Roman"/>
          <w:sz w:val="28"/>
          <w:szCs w:val="28"/>
        </w:rPr>
        <w:t>теле</w:t>
      </w:r>
      <w:r w:rsidR="00E65EAE" w:rsidRPr="00E65EAE">
        <w:rPr>
          <w:rFonts w:ascii="Times New Roman" w:hAnsi="Times New Roman"/>
          <w:sz w:val="28"/>
          <w:szCs w:val="28"/>
        </w:rPr>
        <w:t>коммуникационной сети «Интернет» в разделе</w:t>
      </w:r>
      <w:r w:rsidR="002A2D0C">
        <w:rPr>
          <w:rFonts w:ascii="Times New Roman" w:hAnsi="Times New Roman"/>
          <w:sz w:val="28"/>
          <w:szCs w:val="28"/>
        </w:rPr>
        <w:t xml:space="preserve"> «</w:t>
      </w:r>
      <w:r w:rsidR="0027654E">
        <w:rPr>
          <w:rFonts w:ascii="Times New Roman" w:hAnsi="Times New Roman"/>
          <w:sz w:val="28"/>
          <w:szCs w:val="28"/>
        </w:rPr>
        <w:t>Документы» - «НПА Совета МР «Улё</w:t>
      </w:r>
      <w:r w:rsidR="002A2D0C">
        <w:rPr>
          <w:rFonts w:ascii="Times New Roman" w:hAnsi="Times New Roman"/>
          <w:sz w:val="28"/>
          <w:szCs w:val="28"/>
        </w:rPr>
        <w:t>товский район</w:t>
      </w:r>
      <w:r w:rsidR="00E65EAE" w:rsidRPr="00E65EAE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="00E65EAE"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E65EAE">
        <w:rPr>
          <w:rFonts w:ascii="Times New Roman" w:hAnsi="Times New Roman"/>
          <w:sz w:val="28"/>
          <w:szCs w:val="28"/>
        </w:rPr>
        <w:t>.</w:t>
      </w:r>
    </w:p>
    <w:p w:rsidR="0027654E" w:rsidRDefault="00E65EAE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65EAE">
        <w:rPr>
          <w:rFonts w:ascii="Times New Roman" w:hAnsi="Times New Roman"/>
          <w:sz w:val="28"/>
          <w:szCs w:val="28"/>
        </w:rPr>
        <w:t>Настоящее решение вступ</w:t>
      </w:r>
      <w:r w:rsidR="0027654E">
        <w:rPr>
          <w:rFonts w:ascii="Times New Roman" w:hAnsi="Times New Roman"/>
          <w:sz w:val="28"/>
          <w:szCs w:val="28"/>
        </w:rPr>
        <w:t>ает в силу на следующий день, после</w:t>
      </w:r>
      <w:r w:rsidRPr="00E65EAE">
        <w:rPr>
          <w:rFonts w:ascii="Times New Roman" w:hAnsi="Times New Roman"/>
          <w:sz w:val="28"/>
          <w:szCs w:val="28"/>
        </w:rPr>
        <w:t xml:space="preserve"> дня           </w:t>
      </w:r>
      <w:r w:rsidR="0027654E">
        <w:rPr>
          <w:rFonts w:ascii="Times New Roman" w:hAnsi="Times New Roman"/>
          <w:sz w:val="28"/>
          <w:szCs w:val="28"/>
        </w:rPr>
        <w:t xml:space="preserve">его </w:t>
      </w:r>
      <w:r w:rsidRPr="00E65EAE">
        <w:rPr>
          <w:rFonts w:ascii="Times New Roman" w:hAnsi="Times New Roman"/>
          <w:sz w:val="28"/>
          <w:szCs w:val="28"/>
        </w:rPr>
        <w:t>официального опубликования</w:t>
      </w:r>
      <w:r w:rsidR="0036024D">
        <w:rPr>
          <w:rFonts w:ascii="Times New Roman" w:hAnsi="Times New Roman"/>
          <w:sz w:val="28"/>
          <w:szCs w:val="28"/>
        </w:rPr>
        <w:t>.</w:t>
      </w:r>
    </w:p>
    <w:p w:rsidR="00E65EAE" w:rsidRDefault="0027654E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</w:t>
      </w:r>
      <w:r w:rsidR="00E65EAE" w:rsidRPr="00E65EAE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ё</w:t>
      </w:r>
      <w:r w:rsidR="00E65EAE" w:rsidRPr="00E65EAE">
        <w:rPr>
          <w:rFonts w:ascii="Times New Roman" w:hAnsi="Times New Roman"/>
          <w:sz w:val="28"/>
          <w:szCs w:val="28"/>
        </w:rPr>
        <w:t>м размещения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="00E65EAE" w:rsidRPr="00E65EAE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</w:t>
      </w:r>
      <w:r w:rsidR="002A2D0C">
        <w:rPr>
          <w:rFonts w:ascii="Times New Roman" w:hAnsi="Times New Roman"/>
          <w:sz w:val="28"/>
          <w:szCs w:val="28"/>
        </w:rPr>
        <w:t>кий район» в информационно-теле</w:t>
      </w:r>
      <w:r w:rsidR="00E65EAE" w:rsidRPr="00E65EAE">
        <w:rPr>
          <w:rFonts w:ascii="Times New Roman" w:hAnsi="Times New Roman"/>
          <w:sz w:val="28"/>
          <w:szCs w:val="28"/>
        </w:rPr>
        <w:t>коммуникационной сети «Интернет» в разделе</w:t>
      </w:r>
      <w:r w:rsidR="002A2D0C">
        <w:rPr>
          <w:rFonts w:ascii="Times New Roman" w:hAnsi="Times New Roman"/>
          <w:sz w:val="28"/>
          <w:szCs w:val="28"/>
        </w:rPr>
        <w:t xml:space="preserve"> «Документы» -</w:t>
      </w:r>
      <w:r w:rsidR="00E65EAE" w:rsidRPr="00E65EAE">
        <w:rPr>
          <w:rFonts w:ascii="Times New Roman" w:hAnsi="Times New Roman"/>
          <w:sz w:val="28"/>
          <w:szCs w:val="28"/>
        </w:rPr>
        <w:t xml:space="preserve"> «НПА</w:t>
      </w:r>
      <w:r>
        <w:rPr>
          <w:rFonts w:ascii="Times New Roman" w:hAnsi="Times New Roman"/>
          <w:sz w:val="28"/>
          <w:szCs w:val="28"/>
        </w:rPr>
        <w:t xml:space="preserve"> Совета МР «Улё</w:t>
      </w:r>
      <w:r w:rsidR="002A2D0C">
        <w:rPr>
          <w:rFonts w:ascii="Times New Roman" w:hAnsi="Times New Roman"/>
          <w:sz w:val="28"/>
          <w:szCs w:val="28"/>
        </w:rPr>
        <w:t>товский район</w:t>
      </w:r>
      <w:r w:rsidR="00E65EAE" w:rsidRPr="00E65EAE">
        <w:rPr>
          <w:rFonts w:ascii="Times New Roman" w:hAnsi="Times New Roman"/>
          <w:sz w:val="28"/>
          <w:szCs w:val="28"/>
        </w:rPr>
        <w:t xml:space="preserve">» </w:t>
      </w:r>
      <w:hyperlink r:id="rId10" w:history="1">
        <w:r w:rsidR="00E65EAE"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E65EAE">
        <w:rPr>
          <w:rFonts w:ascii="Times New Roman" w:hAnsi="Times New Roman"/>
          <w:sz w:val="28"/>
          <w:szCs w:val="28"/>
        </w:rPr>
        <w:t>.</w:t>
      </w:r>
    </w:p>
    <w:p w:rsidR="00E65EAE" w:rsidRPr="00567363" w:rsidRDefault="00E65EAE" w:rsidP="0027654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DE1C1E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5305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DE1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С.С.Подойницын</w:t>
      </w:r>
    </w:p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Pr="00EC5305" w:rsidRDefault="00EC5305" w:rsidP="00EC5305"/>
    <w:p w:rsidR="00EC5305" w:rsidRDefault="00EC5305" w:rsidP="00EC5305"/>
    <w:p w:rsidR="00EC5305" w:rsidRDefault="00EC5305" w:rsidP="00EC5305"/>
    <w:p w:rsidR="00A8147F" w:rsidRDefault="00A8147F" w:rsidP="00EC5305">
      <w:pPr>
        <w:jc w:val="center"/>
      </w:pPr>
    </w:p>
    <w:p w:rsidR="00EC5305" w:rsidRDefault="00EC5305" w:rsidP="00EC5305">
      <w:pPr>
        <w:jc w:val="center"/>
      </w:pPr>
    </w:p>
    <w:p w:rsidR="00EC5305" w:rsidRDefault="00EC5305" w:rsidP="00EC5305">
      <w:pPr>
        <w:jc w:val="center"/>
      </w:pPr>
    </w:p>
    <w:p w:rsidR="00EC5305" w:rsidRDefault="00EC5305" w:rsidP="00EC5305">
      <w:pPr>
        <w:jc w:val="center"/>
      </w:pPr>
    </w:p>
    <w:p w:rsidR="00EC5305" w:rsidRDefault="00EC5305" w:rsidP="00EC5305">
      <w:pPr>
        <w:jc w:val="center"/>
      </w:pPr>
    </w:p>
    <w:p w:rsidR="00EC5305" w:rsidRDefault="00EC5305" w:rsidP="00252AE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FF7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C1FBA" w:rsidRDefault="000C1FBA" w:rsidP="00252AE6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1FBA" w:rsidRPr="00086FF7" w:rsidRDefault="000C1FBA" w:rsidP="00252A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>решением Совета сельского поселения «Аблатуйское»</w:t>
      </w:r>
    </w:p>
    <w:p w:rsidR="000C1FBA" w:rsidRPr="005628FC" w:rsidRDefault="000C1FBA" w:rsidP="00252AE6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628FC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мая 2020 года № </w:t>
      </w:r>
      <w:r w:rsidRPr="005628FC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0C1FBA" w:rsidRDefault="000C1FBA" w:rsidP="00252AE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FBA" w:rsidRPr="00086FF7" w:rsidRDefault="000C1FBA" w:rsidP="00252AE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28FC" w:rsidRDefault="005628FC" w:rsidP="00252AE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 района «Улётовский район»</w:t>
      </w:r>
    </w:p>
    <w:p w:rsidR="005628FC" w:rsidRDefault="005628FC" w:rsidP="00252AE6">
      <w:pPr>
        <w:tabs>
          <w:tab w:val="center" w:pos="7158"/>
          <w:tab w:val="right" w:pos="9781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628FC">
        <w:rPr>
          <w:rFonts w:ascii="Times New Roman" w:hAnsi="Times New Roman" w:cs="Times New Roman"/>
          <w:bCs/>
          <w:sz w:val="28"/>
          <w:szCs w:val="28"/>
        </w:rPr>
        <w:t>мая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Pr="005628FC">
        <w:rPr>
          <w:rFonts w:ascii="Times New Roman" w:hAnsi="Times New Roman" w:cs="Times New Roman"/>
          <w:bCs/>
          <w:sz w:val="28"/>
          <w:szCs w:val="28"/>
          <w:u w:val="single"/>
        </w:rPr>
        <w:t>469</w:t>
      </w:r>
    </w:p>
    <w:p w:rsidR="005628FC" w:rsidRDefault="005628FC" w:rsidP="00252AE6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28FC" w:rsidRDefault="005628FC" w:rsidP="005628FC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305" w:rsidRPr="00086FF7" w:rsidRDefault="00EC5305" w:rsidP="00EC53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305" w:rsidRPr="00086FF7" w:rsidRDefault="00EC5305" w:rsidP="00EC53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  <w:r w:rsidR="00204709">
        <w:rPr>
          <w:rFonts w:ascii="Times New Roman" w:hAnsi="Times New Roman" w:cs="Times New Roman"/>
          <w:b/>
          <w:bCs/>
          <w:sz w:val="28"/>
          <w:szCs w:val="28"/>
        </w:rPr>
        <w:t>№___________</w:t>
      </w:r>
    </w:p>
    <w:p w:rsidR="00EC5305" w:rsidRPr="00086FF7" w:rsidRDefault="00EC5305" w:rsidP="00EC53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F7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 муниципального района «Улетовский район»  части полномочий органов местного самоуправления сельского поселения «Аблатуйское» по осуществлению</w:t>
      </w:r>
    </w:p>
    <w:p w:rsidR="00EC5305" w:rsidRPr="00086FF7" w:rsidRDefault="00EC5305" w:rsidP="00EC53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F7">
        <w:rPr>
          <w:rFonts w:ascii="Times New Roman" w:hAnsi="Times New Roman" w:cs="Times New Roman"/>
          <w:b/>
          <w:sz w:val="28"/>
          <w:szCs w:val="28"/>
        </w:rPr>
        <w:t>контроля за исполнением бюджета сельского поселения «Аблатуйское»</w:t>
      </w:r>
    </w:p>
    <w:p w:rsidR="00EC5305" w:rsidRPr="00086FF7" w:rsidRDefault="00EC5305" w:rsidP="00EC530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305" w:rsidRPr="00086FF7" w:rsidRDefault="00EC5305" w:rsidP="00EC5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5" w:rsidRPr="00086FF7" w:rsidRDefault="00EC5305" w:rsidP="00EC530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«Аблатуйское», именуемая в дальнейшем «Сторона 1», в лице главы сельского поселения «Аблатуйское» Геберт</w:t>
      </w:r>
      <w:r w:rsidR="002A2D0C">
        <w:rPr>
          <w:rFonts w:ascii="Times New Roman" w:hAnsi="Times New Roman" w:cs="Times New Roman"/>
          <w:bCs/>
          <w:sz w:val="28"/>
          <w:szCs w:val="28"/>
        </w:rPr>
        <w:t>а</w:t>
      </w:r>
      <w:r w:rsidRPr="00086FF7">
        <w:rPr>
          <w:rFonts w:ascii="Times New Roman" w:hAnsi="Times New Roman" w:cs="Times New Roman"/>
          <w:bCs/>
          <w:sz w:val="28"/>
          <w:szCs w:val="28"/>
        </w:rPr>
        <w:t xml:space="preserve"> Климентия Геронимусовича, действующего на основании Устава сельского поселения «Аблатуйское», с одной стороны, и админист</w:t>
      </w:r>
      <w:r w:rsidR="006F0807">
        <w:rPr>
          <w:rFonts w:ascii="Times New Roman" w:hAnsi="Times New Roman" w:cs="Times New Roman"/>
          <w:bCs/>
          <w:sz w:val="28"/>
          <w:szCs w:val="28"/>
        </w:rPr>
        <w:t>рация муниципального района «Улётовский район» Забайкальского края,</w:t>
      </w:r>
      <w:r w:rsidRPr="00086FF7">
        <w:rPr>
          <w:rFonts w:ascii="Times New Roman" w:hAnsi="Times New Roman" w:cs="Times New Roman"/>
          <w:bCs/>
          <w:sz w:val="28"/>
          <w:szCs w:val="28"/>
        </w:rPr>
        <w:t xml:space="preserve"> именуемая в дальнейшем «Сторона 2», в лице </w:t>
      </w:r>
      <w:r w:rsidR="006F0807">
        <w:rPr>
          <w:rFonts w:ascii="Times New Roman" w:hAnsi="Times New Roman" w:cs="Times New Roman"/>
          <w:bCs/>
          <w:sz w:val="28"/>
          <w:szCs w:val="28"/>
        </w:rPr>
        <w:t>главы муниципального района «Улё</w:t>
      </w:r>
      <w:r w:rsidRPr="00086FF7">
        <w:rPr>
          <w:rFonts w:ascii="Times New Roman" w:hAnsi="Times New Roman" w:cs="Times New Roman"/>
          <w:bCs/>
          <w:sz w:val="28"/>
          <w:szCs w:val="28"/>
        </w:rPr>
        <w:t>товский район» Синкевич</w:t>
      </w:r>
      <w:r w:rsidR="002A2D0C">
        <w:rPr>
          <w:rFonts w:ascii="Times New Roman" w:hAnsi="Times New Roman" w:cs="Times New Roman"/>
          <w:bCs/>
          <w:sz w:val="28"/>
          <w:szCs w:val="28"/>
        </w:rPr>
        <w:t>а</w:t>
      </w:r>
      <w:r w:rsidRPr="00086FF7">
        <w:rPr>
          <w:rFonts w:ascii="Times New Roman" w:hAnsi="Times New Roman" w:cs="Times New Roman"/>
          <w:bCs/>
          <w:sz w:val="28"/>
          <w:szCs w:val="28"/>
        </w:rPr>
        <w:t xml:space="preserve"> Александра Иннокентьевича, действующего на основании Устава  муниципал</w:t>
      </w:r>
      <w:r w:rsidR="006F0807">
        <w:rPr>
          <w:rFonts w:ascii="Times New Roman" w:hAnsi="Times New Roman" w:cs="Times New Roman"/>
          <w:bCs/>
          <w:sz w:val="28"/>
          <w:szCs w:val="28"/>
        </w:rPr>
        <w:t>ьного района «Улётовский район» Забайкальского края,</w:t>
      </w:r>
      <w:r w:rsidRPr="00086FF7">
        <w:rPr>
          <w:rFonts w:ascii="Times New Roman" w:hAnsi="Times New Roman" w:cs="Times New Roman"/>
          <w:bCs/>
          <w:sz w:val="28"/>
          <w:szCs w:val="28"/>
        </w:rPr>
        <w:t xml:space="preserve"> с другой стороны, вместе именуемые «Стороны», заключили настоящее Соглашение о нижеследующем.</w:t>
      </w:r>
    </w:p>
    <w:p w:rsidR="00EC5305" w:rsidRPr="00086FF7" w:rsidRDefault="00EC5305" w:rsidP="00EC5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305" w:rsidRPr="00086FF7" w:rsidRDefault="00EC5305" w:rsidP="00EC5305">
      <w:pPr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sz w:val="28"/>
          <w:szCs w:val="28"/>
        </w:rPr>
        <w:t>1. Предмет Соглашения</w:t>
      </w:r>
    </w:p>
    <w:p w:rsidR="00EC5305" w:rsidRPr="00086FF7" w:rsidRDefault="00EC5305" w:rsidP="00EC53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305" w:rsidRPr="00086FF7" w:rsidRDefault="00EC5305" w:rsidP="00EC530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086FF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086FF7">
        <w:rPr>
          <w:rFonts w:ascii="Times New Roman" w:hAnsi="Times New Roman" w:cs="Times New Roman"/>
          <w:sz w:val="28"/>
          <w:szCs w:val="28"/>
        </w:rPr>
        <w:t>сельского поселения «Аблатуйское» по решению вопроса местного значения по осуществлению контроля за исполнением бюджета сельского поселения «Аблатуйское», указанных в пункте 1.2 настоящего Соглашения, за счет межбюджетных трансфертов, предоставляемых из бюджета сельского поселения «Аблатуйское» в бюджет муниципального района «Улетовский район»,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EC5305" w:rsidRPr="00086FF7" w:rsidRDefault="00EC5305" w:rsidP="00EC530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lastRenderedPageBreak/>
        <w:t>1.2. Сторона 1передает, а Сторона 2 принимает на себя следующие полномочия (далее – переданные полномочия):</w:t>
      </w:r>
    </w:p>
    <w:p w:rsidR="00EC5305" w:rsidRPr="00086FF7" w:rsidRDefault="00EC5305" w:rsidP="00EC5305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B42AAA">
        <w:rPr>
          <w:rFonts w:ascii="Times New Roman" w:hAnsi="Times New Roman" w:cs="Times New Roman"/>
          <w:kern w:val="2"/>
          <w:sz w:val="28"/>
          <w:szCs w:val="28"/>
        </w:rPr>
        <w:t>.2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EC5305" w:rsidRPr="00086FF7" w:rsidRDefault="00EC5305" w:rsidP="00EC5305">
      <w:pPr>
        <w:widowControl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- по проведению </w:t>
      </w:r>
      <w:r w:rsidRPr="00086FF7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sz w:val="28"/>
          <w:szCs w:val="28"/>
        </w:rPr>
        <w:t>2. Финансовое обеспечение Соглашения</w:t>
      </w: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086FF7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086FF7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район», 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>равен</w:t>
      </w:r>
      <w:r w:rsidRPr="00086FF7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    500,00     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086FF7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>2.2. Расходы бюджета</w:t>
      </w:r>
      <w:r w:rsidRPr="00086FF7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 на предоставление межбюджетных трансфертов и расходы бюджета муниципального района «Улетовский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2.3. Межбюджетные трансферты из бюджета </w:t>
      </w:r>
      <w:r w:rsidRPr="00086FF7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>бюджету муниципального района «Улетовский район» перечисляются один раз в год в срок до 1 декабря текущего финансового года.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2.4. Межбюджетные трансферты, полученные бюджетом муниципального района «Улетовский район» из бюджета </w:t>
      </w:r>
      <w:r w:rsidRPr="00086FF7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086FF7">
        <w:rPr>
          <w:rFonts w:ascii="Times New Roman" w:hAnsi="Times New Roman" w:cs="Times New Roman"/>
          <w:sz w:val="28"/>
          <w:szCs w:val="28"/>
        </w:rPr>
        <w:t>сельского поселения «Аблатуйское».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Права и обязанности сторон</w:t>
      </w: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средства)в размере, установленном пунктом 2.1 настоящего Соглашения;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>3.3.2.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 т</w:t>
      </w:r>
      <w:r w:rsidRPr="00086FF7">
        <w:rPr>
          <w:rFonts w:ascii="Times New Roman" w:hAnsi="Times New Roman" w:cs="Times New Roman"/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>3.3.3.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 т</w:t>
      </w:r>
      <w:r w:rsidRPr="00086FF7">
        <w:rPr>
          <w:rFonts w:ascii="Times New Roman" w:hAnsi="Times New Roman" w:cs="Times New Roman"/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sz w:val="28"/>
          <w:szCs w:val="28"/>
        </w:rPr>
        <w:t>3.4. Сторона 2 вправе: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>3.4.3.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 п</w:t>
      </w:r>
      <w:r w:rsidRPr="00086FF7">
        <w:rPr>
          <w:rFonts w:ascii="Times New Roman" w:hAnsi="Times New Roman" w:cs="Times New Roman"/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sz w:val="28"/>
          <w:szCs w:val="28"/>
        </w:rPr>
        <w:t>3.4.4.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 w:rsidRPr="00086FF7">
        <w:rPr>
          <w:rFonts w:ascii="Times New Roman" w:hAnsi="Times New Roman" w:cs="Times New Roman"/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C5305" w:rsidRPr="00086FF7" w:rsidRDefault="00EC5305" w:rsidP="00EC530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 w:rsidRPr="00086FF7">
        <w:rPr>
          <w:rFonts w:ascii="Times New Roman" w:eastAsia="Calibri" w:hAnsi="Times New Roman" w:cs="Times New Roman"/>
          <w:sz w:val="28"/>
          <w:szCs w:val="28"/>
          <w:lang w:eastAsia="en-US"/>
        </w:rPr>
        <w:t>3.4.5.</w:t>
      </w:r>
      <w:r w:rsidRPr="00086FF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 </w:t>
      </w:r>
      <w:r w:rsidRPr="00086FF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«Улетовский район</w:t>
      </w:r>
      <w:r w:rsidRPr="00086F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086F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305" w:rsidRPr="00086FF7" w:rsidRDefault="00EC5305" w:rsidP="00EC5305">
      <w:pPr>
        <w:widowControl/>
        <w:adjustRightInd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 w:rsidRPr="00086FF7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C5305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086FF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C5305" w:rsidRPr="00A72B55" w:rsidRDefault="00EC5305" w:rsidP="00EC530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72B55">
        <w:rPr>
          <w:rFonts w:ascii="Times New Roman" w:hAnsi="Times New Roman" w:cs="Times New Roman"/>
          <w:color w:val="000000"/>
          <w:spacing w:val="-3"/>
          <w:sz w:val="28"/>
          <w:szCs w:val="28"/>
        </w:rPr>
        <w:t>4.2.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 срок.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C5305" w:rsidRPr="00086FF7" w:rsidRDefault="00EC5305" w:rsidP="00EC530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086FF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08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  <w:r w:rsidRPr="00086F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5.2.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086FF7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>«01» января 2020</w:t>
      </w:r>
      <w:r w:rsidRPr="00086FF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«31» декабря 2020</w:t>
      </w:r>
      <w:r w:rsidRPr="00086F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C5305" w:rsidRPr="00086FF7" w:rsidRDefault="00EC5305" w:rsidP="00EC530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C5305" w:rsidRPr="00086FF7" w:rsidRDefault="00EC5305" w:rsidP="00EC5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086FF7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C5305" w:rsidRPr="00086FF7" w:rsidRDefault="00EC5305" w:rsidP="00EC5305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C5305" w:rsidRPr="005628FC" w:rsidRDefault="00EC5305" w:rsidP="005628FC">
      <w:pPr>
        <w:widowControl/>
        <w:adjustRightInd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86F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6.6. Настоящее Соглашение составлено в двух экземплярах, имеющих равную юридическую силу – по одному экземпляру для каж</w:t>
      </w:r>
      <w:r w:rsidR="005628FC">
        <w:rPr>
          <w:rFonts w:ascii="Times New Roman" w:hAnsi="Times New Roman" w:cs="Times New Roman"/>
          <w:color w:val="000000"/>
          <w:kern w:val="2"/>
          <w:sz w:val="28"/>
          <w:szCs w:val="28"/>
        </w:rPr>
        <w:t>дой из Сторон</w:t>
      </w:r>
    </w:p>
    <w:p w:rsidR="00EC5305" w:rsidRPr="00086FF7" w:rsidRDefault="00EC5305" w:rsidP="005628F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FF7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086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C5305" w:rsidRPr="00086FF7" w:rsidRDefault="00EC5305" w:rsidP="00EC53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305" w:rsidRPr="00086FF7" w:rsidRDefault="00EC5305" w:rsidP="00EC5305">
      <w:pPr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C5305" w:rsidRPr="00086FF7" w:rsidTr="00F26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A" w:rsidRDefault="006F0807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52AE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«Улё</w:t>
            </w:r>
            <w:r w:rsidR="00252AE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район» Забайкальского края</w:t>
            </w: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AA" w:rsidRDefault="00852CEC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72F67">
              <w:rPr>
                <w:rFonts w:ascii="Times New Roman" w:hAnsi="Times New Roman" w:cs="Times New Roman"/>
                <w:sz w:val="28"/>
                <w:szCs w:val="28"/>
              </w:rPr>
              <w:t>4050, с. Улёты, ул. Кирова, 68 «А»</w:t>
            </w: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752201001, УФК по Забайкальскому краю (Комитет по финансам администрации муниципального района «Улётовский район» Забайкальского края),             л/с 04913001450</w:t>
            </w: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40101810750042010001 отделение Чита г. Чита БИК 047601001, </w:t>
            </w: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76746000</w:t>
            </w: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AA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«Улётовский район»</w:t>
            </w:r>
            <w:r w:rsidR="002A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6AA" w:rsidRPr="004D14BB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AA" w:rsidRPr="004D14BB" w:rsidRDefault="000A26AA" w:rsidP="000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_____________ Синкевич А.И.</w:t>
            </w:r>
          </w:p>
          <w:p w:rsidR="000A26AA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A26AA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AA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1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B6E6E" w:rsidRPr="00951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5B6E6E" w:rsidRPr="005B6E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6E6E" w:rsidRPr="00951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5B6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C5305" w:rsidRPr="00086FF7" w:rsidRDefault="00EC5305" w:rsidP="00F265CF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</w:p>
          <w:p w:rsidR="00EC5305" w:rsidRPr="00086FF7" w:rsidRDefault="00EC5305" w:rsidP="00F265CF">
            <w:pPr>
              <w:rPr>
                <w:rFonts w:ascii="Times New Roman" w:hAnsi="Times New Roman" w:cs="Times New Roman"/>
                <w:sz w:val="28"/>
              </w:rPr>
            </w:pPr>
            <w:r w:rsidRPr="00086F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A" w:rsidRPr="00086FF7" w:rsidRDefault="00252AE6" w:rsidP="000A26AA">
            <w:pPr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Администрация сельского поселения «Аблатуйское»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 xml:space="preserve">674062  с. Аблатуйский Бор                               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>ул. Центральная,62, тел.56-136                   КПП 752201001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 xml:space="preserve">ИНН 7522003581                                            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>ОГРН 1057538007449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 xml:space="preserve">Р.с. 40204810600000000293                          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 xml:space="preserve">л/сч 01913015700                                      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>Отделение Чита г. Чита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 xml:space="preserve">БИК 047601001       </w:t>
            </w:r>
          </w:p>
          <w:p w:rsidR="000A26AA" w:rsidRPr="00086FF7" w:rsidRDefault="000A26AA" w:rsidP="000A26AA">
            <w:pPr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0A26AA" w:rsidRPr="00086FF7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086FF7">
              <w:rPr>
                <w:rFonts w:ascii="Times New Roman" w:hAnsi="Times New Roman" w:cs="Times New Roman"/>
                <w:sz w:val="27"/>
                <w:szCs w:val="28"/>
              </w:rPr>
              <w:t>Глава сельского поселения «Аблатуйское»</w:t>
            </w:r>
            <w:r w:rsidRPr="00086FF7">
              <w:rPr>
                <w:rFonts w:ascii="Times New Roman" w:hAnsi="Times New Roman" w:cs="Times New Roman"/>
                <w:sz w:val="27"/>
              </w:rPr>
              <w:t xml:space="preserve"> </w:t>
            </w:r>
            <w:r w:rsidR="002A2D0C">
              <w:rPr>
                <w:rFonts w:ascii="Times New Roman" w:hAnsi="Times New Roman" w:cs="Times New Roman"/>
                <w:sz w:val="27"/>
              </w:rPr>
              <w:t xml:space="preserve"> </w:t>
            </w:r>
          </w:p>
          <w:p w:rsidR="000A26AA" w:rsidRPr="00086FF7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 w:rsidRPr="00086FF7">
              <w:rPr>
                <w:rFonts w:ascii="Times New Roman" w:hAnsi="Times New Roman" w:cs="Times New Roman"/>
                <w:sz w:val="27"/>
              </w:rPr>
              <w:t>_____________ Геберт  К.Г.</w:t>
            </w:r>
          </w:p>
          <w:p w:rsidR="000A26AA" w:rsidRPr="00086FF7" w:rsidRDefault="005B6E6E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 «</w:t>
            </w:r>
            <w:r w:rsidRPr="009519C2">
              <w:rPr>
                <w:rFonts w:ascii="Times New Roman" w:hAnsi="Times New Roman" w:cs="Times New Roman"/>
                <w:sz w:val="27"/>
                <w:u w:val="single"/>
              </w:rPr>
              <w:t>1</w:t>
            </w:r>
            <w:r w:rsidR="005447D2">
              <w:rPr>
                <w:rFonts w:ascii="Times New Roman" w:hAnsi="Times New Roman" w:cs="Times New Roman"/>
                <w:sz w:val="27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7"/>
              </w:rPr>
              <w:t xml:space="preserve">» </w:t>
            </w:r>
            <w:r w:rsidRPr="009519C2">
              <w:rPr>
                <w:rFonts w:ascii="Times New Roman" w:hAnsi="Times New Roman" w:cs="Times New Roman"/>
                <w:sz w:val="27"/>
                <w:u w:val="single"/>
              </w:rPr>
              <w:t>мая</w:t>
            </w:r>
            <w:r w:rsidR="000A26AA">
              <w:rPr>
                <w:rFonts w:ascii="Times New Roman" w:hAnsi="Times New Roman" w:cs="Times New Roman"/>
                <w:sz w:val="27"/>
              </w:rPr>
              <w:t xml:space="preserve"> 2020 года</w:t>
            </w:r>
          </w:p>
          <w:p w:rsidR="00EC5305" w:rsidRPr="00086FF7" w:rsidRDefault="000A26AA" w:rsidP="000A26AA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</w:rPr>
            </w:pPr>
            <w:r w:rsidRPr="00086FF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C5305" w:rsidRPr="00086FF7" w:rsidRDefault="00EC5305" w:rsidP="00EC53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305" w:rsidRPr="009C3297" w:rsidRDefault="00EC5305" w:rsidP="00EC530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C5305" w:rsidRDefault="00EC5305" w:rsidP="00EC5305">
      <w:pPr>
        <w:jc w:val="center"/>
      </w:pPr>
    </w:p>
    <w:p w:rsidR="00EC5305" w:rsidRDefault="00EC5305" w:rsidP="00EC5305">
      <w:pPr>
        <w:jc w:val="center"/>
      </w:pPr>
    </w:p>
    <w:p w:rsidR="00EC5305" w:rsidRPr="00EC5305" w:rsidRDefault="00EC5305" w:rsidP="00EC5305">
      <w:pPr>
        <w:jc w:val="center"/>
      </w:pPr>
    </w:p>
    <w:sectPr w:rsidR="00EC5305" w:rsidRPr="00EC5305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64" w:rsidRDefault="00092764" w:rsidP="00347385">
      <w:r>
        <w:separator/>
      </w:r>
    </w:p>
  </w:endnote>
  <w:endnote w:type="continuationSeparator" w:id="1">
    <w:p w:rsidR="00092764" w:rsidRDefault="00092764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64" w:rsidRDefault="00092764" w:rsidP="00347385">
      <w:r>
        <w:separator/>
      </w:r>
    </w:p>
  </w:footnote>
  <w:footnote w:type="continuationSeparator" w:id="1">
    <w:p w:rsidR="00092764" w:rsidRDefault="00092764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0BE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764"/>
    <w:rsid w:val="00092E9B"/>
    <w:rsid w:val="000939AE"/>
    <w:rsid w:val="00093DA1"/>
    <w:rsid w:val="00093ED9"/>
    <w:rsid w:val="00094483"/>
    <w:rsid w:val="00094555"/>
    <w:rsid w:val="000951E9"/>
    <w:rsid w:val="00096D7D"/>
    <w:rsid w:val="00097057"/>
    <w:rsid w:val="000972FA"/>
    <w:rsid w:val="00097BA3"/>
    <w:rsid w:val="000A07FF"/>
    <w:rsid w:val="000A1435"/>
    <w:rsid w:val="000A1A00"/>
    <w:rsid w:val="000A26AA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1FBA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4D26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2EF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01A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709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33A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AE6"/>
    <w:rsid w:val="0025668A"/>
    <w:rsid w:val="00256C1F"/>
    <w:rsid w:val="002574EF"/>
    <w:rsid w:val="0025785A"/>
    <w:rsid w:val="00257D0C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2F67"/>
    <w:rsid w:val="00273518"/>
    <w:rsid w:val="0027355D"/>
    <w:rsid w:val="00273773"/>
    <w:rsid w:val="00273F9C"/>
    <w:rsid w:val="00275677"/>
    <w:rsid w:val="00275FB0"/>
    <w:rsid w:val="0027654E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5819"/>
    <w:rsid w:val="00295CEF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2D0C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24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0E1C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4AC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E5F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2B3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47D2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28FC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7D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E6E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048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807"/>
    <w:rsid w:val="006F09C0"/>
    <w:rsid w:val="006F0E95"/>
    <w:rsid w:val="006F2A2B"/>
    <w:rsid w:val="006F302C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0C90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36925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2CEC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380D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D85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9C2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4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AB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B6F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49B8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2F2B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848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A05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0559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493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AAA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0FF1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3E27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5322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2F7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7FE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0F6F"/>
    <w:rsid w:val="00D11D13"/>
    <w:rsid w:val="00D11F82"/>
    <w:rsid w:val="00D12EE7"/>
    <w:rsid w:val="00D12EEC"/>
    <w:rsid w:val="00D13A86"/>
    <w:rsid w:val="00D15055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2887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A05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1C1E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5305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6461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09B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002E-AD80-4D0F-996E-376A2E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2020-05-24T23:22:00Z</cp:lastPrinted>
  <dcterms:created xsi:type="dcterms:W3CDTF">2020-05-21T22:59:00Z</dcterms:created>
  <dcterms:modified xsi:type="dcterms:W3CDTF">2020-05-25T00:18:00Z</dcterms:modified>
</cp:coreProperties>
</file>