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FA54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54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FA54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Default="00426D34" w:rsidP="00426D34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FA54F0" w:rsidRPr="00C331E1" w:rsidRDefault="00FA54F0" w:rsidP="00FA54F0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адрес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ФАС России подготовлен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заявление об установлении предельных уровней тарифов по передаче электрической энергии по сетям территориальных сетевых организаций Забайкальского края 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предложени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предельных (максимальных и минимальных) уровней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единых (котловых)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тарифов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по передаче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электрическ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энерги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для населения и прочих потребителей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Также подготовлено и направлено заявление об установлении предельных уровней цен (тарифов) на электрическую энергию (мощность), поставляемую населению и приравненным к нему категориям потребителей 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5A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  <w:r w:rsidRPr="00C3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F0" w:rsidRDefault="00FA54F0" w:rsidP="00FA54F0">
      <w:pPr>
        <w:pStyle w:val="a6"/>
        <w:tabs>
          <w:tab w:val="left" w:pos="1134"/>
          <w:tab w:val="left" w:pos="1560"/>
        </w:tabs>
        <w:ind w:firstLine="709"/>
        <w:rPr>
          <w:szCs w:val="28"/>
        </w:rPr>
      </w:pPr>
      <w:r>
        <w:rPr>
          <w:szCs w:val="28"/>
        </w:rPr>
        <w:t>В ходе проведения внеплановой, документарной проверки правильности применения установленных тарифов в отношении ДНТ «Светлый» выявлены нарушения, связанные с неполным представлением сведений, запрошенных в рамках проведения проверки. Сформированы соответствующие дела об административных правонарушениях, и направлены для рассмотрения в адрес Мирового судьи судебного участка № 7.</w:t>
      </w:r>
      <w:r w:rsidRPr="00A870E8">
        <w:rPr>
          <w:szCs w:val="28"/>
        </w:rPr>
        <w:t xml:space="preserve"> </w:t>
      </w:r>
    </w:p>
    <w:p w:rsidR="00FA54F0" w:rsidRDefault="00FA54F0" w:rsidP="00FA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 (подготовлены соответствующие пояснения).</w:t>
      </w:r>
    </w:p>
    <w:p w:rsidR="00FA54F0" w:rsidRPr="00426D34" w:rsidRDefault="00FA54F0" w:rsidP="0042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426D34" w:rsidRDefault="00426D34" w:rsidP="00426D3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973136" w:rsidRPr="001B24A4" w:rsidRDefault="00426D34" w:rsidP="001B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1B24A4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 w:rsidR="001F6A9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Заполнены шаблоны: </w:t>
      </w:r>
    </w:p>
    <w:p w:rsidR="001B24A4" w:rsidRPr="001B24A4" w:rsidRDefault="001B24A4" w:rsidP="001B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>OREP.KU.2019.MONTHLY.06 - изменение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A4" w:rsidRDefault="001B24A4" w:rsidP="001B24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1B24A4">
        <w:rPr>
          <w:rFonts w:ascii="Times New Roman" w:hAnsi="Times New Roman" w:cs="Times New Roman"/>
          <w:sz w:val="28"/>
          <w:szCs w:val="28"/>
        </w:rPr>
        <w:t>ктуализация шаблонов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4A4" w:rsidRPr="001B24A4" w:rsidRDefault="001B24A4" w:rsidP="001B2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 SUMMARY.BALANCE.CALC.TARIFF.....2019YEAR - показатели организаций коммунального комплекса на 2019 год (план) (по сферам).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2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1B24A4">
        <w:rPr>
          <w:rFonts w:ascii="Times New Roman" w:hAnsi="Times New Roman" w:cs="Times New Roman"/>
          <w:noProof/>
          <w:sz w:val="28"/>
          <w:szCs w:val="28"/>
        </w:rPr>
        <w:t>оставлено 2 постановления об администратиных  праванарушениях.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>Согласовано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-6.</w:t>
      </w:r>
    </w:p>
    <w:p w:rsidR="001B24A4" w:rsidRPr="001B24A4" w:rsidRDefault="001B24A4" w:rsidP="001B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>Проведена плановая выездная проверка в отношении ПАО «ТГК-14» в части правильности применения установленных тарифов на услуги теплоснабжения, анализа фактических затрат предприятия за 2018 год, послуживших основанием для изменения и установления тарифов на услуги теплоснабжения, проверки факта раскрытия стандартов информации в течение 2018 года.</w:t>
      </w:r>
    </w:p>
    <w:p w:rsidR="001B24A4" w:rsidRPr="001B24A4" w:rsidRDefault="001B24A4" w:rsidP="001B2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083B94" w:rsidRDefault="00330339" w:rsidP="00330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330339" w:rsidRDefault="00330339" w:rsidP="00BD6ABD">
      <w:pPr>
        <w:pStyle w:val="a6"/>
        <w:ind w:firstLine="709"/>
        <w:rPr>
          <w:szCs w:val="28"/>
        </w:rPr>
      </w:pPr>
      <w:r w:rsidRPr="00330339">
        <w:rPr>
          <w:szCs w:val="28"/>
        </w:rPr>
        <w:t>В течение отчетной недели проделана следующая работа:</w:t>
      </w:r>
    </w:p>
    <w:p w:rsidR="00CC4A49" w:rsidRPr="001B24A4" w:rsidRDefault="001B24A4" w:rsidP="00CA7D40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1B24A4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2</w:t>
      </w:r>
      <w:r>
        <w:rPr>
          <w:sz w:val="28"/>
          <w:szCs w:val="28"/>
        </w:rPr>
        <w:t>9</w:t>
      </w:r>
      <w:r w:rsidRPr="001B24A4">
        <w:rPr>
          <w:sz w:val="28"/>
          <w:szCs w:val="28"/>
        </w:rPr>
        <w:t xml:space="preserve"> нарушение и составлено </w:t>
      </w:r>
      <w:r w:rsidR="00CC4A49">
        <w:rPr>
          <w:sz w:val="28"/>
          <w:szCs w:val="28"/>
        </w:rPr>
        <w:t>5</w:t>
      </w:r>
      <w:r w:rsidRPr="001B24A4">
        <w:rPr>
          <w:sz w:val="28"/>
          <w:szCs w:val="28"/>
        </w:rPr>
        <w:t xml:space="preserve"> протокол</w:t>
      </w:r>
      <w:r w:rsidR="00CC4A49">
        <w:rPr>
          <w:sz w:val="28"/>
          <w:szCs w:val="28"/>
        </w:rPr>
        <w:t>ов</w:t>
      </w:r>
      <w:r w:rsidRPr="001B24A4">
        <w:rPr>
          <w:sz w:val="28"/>
          <w:szCs w:val="28"/>
        </w:rPr>
        <w:t xml:space="preserve"> об административном правонарушении по ч. 3 ст. 14.16 КоАП РФ (ООО «Ария», ООО «Корона»</w:t>
      </w:r>
      <w:r w:rsidR="00CC4A49">
        <w:rPr>
          <w:sz w:val="28"/>
          <w:szCs w:val="28"/>
        </w:rPr>
        <w:t>,</w:t>
      </w:r>
      <w:r w:rsidR="00CC4A49" w:rsidRPr="00CC4A49">
        <w:rPr>
          <w:sz w:val="28"/>
          <w:szCs w:val="28"/>
        </w:rPr>
        <w:t xml:space="preserve"> ООО «Енисей»</w:t>
      </w:r>
      <w:r w:rsidRPr="00CC4A49">
        <w:rPr>
          <w:sz w:val="28"/>
          <w:szCs w:val="28"/>
        </w:rPr>
        <w:t>);</w:t>
      </w:r>
      <w:r w:rsidRPr="001B24A4">
        <w:rPr>
          <w:sz w:val="28"/>
          <w:szCs w:val="28"/>
        </w:rPr>
        <w:t xml:space="preserve">  </w:t>
      </w:r>
      <w:r w:rsidR="00CC4A49">
        <w:rPr>
          <w:sz w:val="28"/>
          <w:szCs w:val="28"/>
        </w:rPr>
        <w:t>20</w:t>
      </w:r>
      <w:r w:rsidRPr="001B24A4">
        <w:rPr>
          <w:sz w:val="28"/>
          <w:szCs w:val="28"/>
        </w:rPr>
        <w:t xml:space="preserve"> протоколов об административных правонарушениях по ч. 2 ст. 14.6 КоАП РФ </w:t>
      </w:r>
      <w:r w:rsidRPr="00CC4A49">
        <w:rPr>
          <w:sz w:val="28"/>
          <w:szCs w:val="28"/>
        </w:rPr>
        <w:t xml:space="preserve">(ООО «Удача», ООО «Селенит», ООО «Диета», ООО «Престиж», ООО «Атлант», ООО «Карина», ООО «Руслан», ООО «Ирбис», ООО «Рояль», ООО «Кедр», ООО «ИП </w:t>
      </w:r>
      <w:proofErr w:type="spellStart"/>
      <w:r w:rsidRPr="00CC4A49">
        <w:rPr>
          <w:sz w:val="28"/>
          <w:szCs w:val="28"/>
        </w:rPr>
        <w:t>Кубляков</w:t>
      </w:r>
      <w:proofErr w:type="spellEnd"/>
      <w:r w:rsidRPr="00CC4A49">
        <w:rPr>
          <w:sz w:val="28"/>
          <w:szCs w:val="28"/>
        </w:rPr>
        <w:t xml:space="preserve"> Н.Г.», ООО «Тундра», ООО Акцент», ООО </w:t>
      </w:r>
      <w:proofErr w:type="spellStart"/>
      <w:r w:rsidRPr="00CC4A49">
        <w:rPr>
          <w:sz w:val="28"/>
          <w:szCs w:val="28"/>
        </w:rPr>
        <w:t>Виноград»</w:t>
      </w:r>
      <w:proofErr w:type="gramStart"/>
      <w:r w:rsidR="00CC4A49" w:rsidRPr="00CC4A49">
        <w:rPr>
          <w:sz w:val="28"/>
          <w:szCs w:val="28"/>
        </w:rPr>
        <w:t>,О</w:t>
      </w:r>
      <w:proofErr w:type="gramEnd"/>
      <w:r w:rsidR="00CC4A49" w:rsidRPr="00CC4A49">
        <w:rPr>
          <w:sz w:val="28"/>
          <w:szCs w:val="28"/>
        </w:rPr>
        <w:t>ОО</w:t>
      </w:r>
      <w:proofErr w:type="spellEnd"/>
      <w:r w:rsidR="00CC4A49" w:rsidRPr="00CC4A49">
        <w:rPr>
          <w:sz w:val="28"/>
          <w:szCs w:val="28"/>
        </w:rPr>
        <w:t xml:space="preserve"> «Лидер», ООО «Калина», ООО «Абсолют»</w:t>
      </w:r>
      <w:r w:rsidR="00CC4A49">
        <w:rPr>
          <w:sz w:val="28"/>
          <w:szCs w:val="28"/>
        </w:rPr>
        <w:t xml:space="preserve">, </w:t>
      </w:r>
      <w:r w:rsidR="00CC4A49" w:rsidRPr="00CC4A49">
        <w:rPr>
          <w:sz w:val="28"/>
          <w:szCs w:val="28"/>
        </w:rPr>
        <w:t xml:space="preserve">ООО «Магазин-бар </w:t>
      </w:r>
      <w:proofErr w:type="spellStart"/>
      <w:r w:rsidR="00CC4A49" w:rsidRPr="00CC4A49">
        <w:rPr>
          <w:sz w:val="28"/>
          <w:szCs w:val="28"/>
        </w:rPr>
        <w:t>Айпара</w:t>
      </w:r>
      <w:proofErr w:type="spellEnd"/>
      <w:r w:rsidR="00CC4A49" w:rsidRPr="00CC4A49">
        <w:rPr>
          <w:sz w:val="28"/>
          <w:szCs w:val="28"/>
        </w:rPr>
        <w:t xml:space="preserve"> +»)</w:t>
      </w:r>
      <w:r w:rsidR="00CC4A49">
        <w:rPr>
          <w:sz w:val="28"/>
          <w:szCs w:val="28"/>
        </w:rPr>
        <w:t xml:space="preserve">, </w:t>
      </w:r>
      <w:r w:rsidR="00CC4A49" w:rsidRPr="001B24A4">
        <w:rPr>
          <w:sz w:val="28"/>
          <w:szCs w:val="28"/>
        </w:rPr>
        <w:t xml:space="preserve"> 2 протокола об административном правонарушении по ч. 3 ст. 14.17 (ООО «Радуга», ООО «Оникс»). </w:t>
      </w:r>
    </w:p>
    <w:p w:rsidR="00CA7D40" w:rsidRDefault="001B24A4" w:rsidP="00CA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A49">
        <w:rPr>
          <w:rFonts w:ascii="Times New Roman" w:hAnsi="Times New Roman" w:cs="Times New Roman"/>
          <w:sz w:val="28"/>
          <w:szCs w:val="28"/>
        </w:rPr>
        <w:t xml:space="preserve">Службой рассмотрено </w:t>
      </w:r>
      <w:r w:rsidR="00CC4A49">
        <w:rPr>
          <w:rFonts w:ascii="Times New Roman" w:hAnsi="Times New Roman" w:cs="Times New Roman"/>
          <w:sz w:val="28"/>
          <w:szCs w:val="28"/>
        </w:rPr>
        <w:t>20</w:t>
      </w:r>
      <w:r w:rsidRPr="00CC4A4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ч. 3 ст. 14.16 КоАП РФ на общую сумму наложенных штрафов 1 млн. </w:t>
      </w:r>
      <w:r w:rsidR="00CA7D40">
        <w:rPr>
          <w:rFonts w:ascii="Times New Roman" w:hAnsi="Times New Roman" w:cs="Times New Roman"/>
          <w:sz w:val="28"/>
          <w:szCs w:val="28"/>
        </w:rPr>
        <w:t>600</w:t>
      </w:r>
      <w:r w:rsidRPr="00CC4A49">
        <w:rPr>
          <w:rFonts w:ascii="Times New Roman" w:hAnsi="Times New Roman" w:cs="Times New Roman"/>
          <w:sz w:val="28"/>
          <w:szCs w:val="28"/>
        </w:rPr>
        <w:t xml:space="preserve"> тыс. рублей, вынесено </w:t>
      </w:r>
      <w:r w:rsidR="00CA7D40">
        <w:rPr>
          <w:rFonts w:ascii="Times New Roman" w:hAnsi="Times New Roman" w:cs="Times New Roman"/>
          <w:sz w:val="28"/>
          <w:szCs w:val="28"/>
        </w:rPr>
        <w:t>3</w:t>
      </w:r>
      <w:r w:rsidRPr="00CC4A49">
        <w:rPr>
          <w:rFonts w:ascii="Times New Roman" w:hAnsi="Times New Roman" w:cs="Times New Roman"/>
          <w:sz w:val="28"/>
          <w:szCs w:val="28"/>
        </w:rPr>
        <w:t xml:space="preserve"> административных наказания в виде предупреждения; </w:t>
      </w:r>
      <w:r w:rsidR="00CA7D40">
        <w:rPr>
          <w:rFonts w:ascii="Times New Roman" w:hAnsi="Times New Roman" w:cs="Times New Roman"/>
          <w:sz w:val="28"/>
          <w:szCs w:val="28"/>
        </w:rPr>
        <w:t>21</w:t>
      </w:r>
      <w:r w:rsidRPr="00CC4A4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ч. 2 ст. 14.6, наложено штрафов на общую сумму </w:t>
      </w:r>
      <w:r w:rsidR="00CA7D40">
        <w:rPr>
          <w:rFonts w:ascii="Times New Roman" w:hAnsi="Times New Roman" w:cs="Times New Roman"/>
          <w:sz w:val="28"/>
          <w:szCs w:val="28"/>
        </w:rPr>
        <w:t>1 млн. 3</w:t>
      </w:r>
      <w:r w:rsidRPr="00CC4A49">
        <w:rPr>
          <w:rFonts w:ascii="Times New Roman" w:hAnsi="Times New Roman" w:cs="Times New Roman"/>
          <w:sz w:val="28"/>
          <w:szCs w:val="28"/>
        </w:rPr>
        <w:t>50 тыс. руб., вынесено 6 административных н</w:t>
      </w:r>
      <w:r w:rsidR="00CA7D40">
        <w:rPr>
          <w:rFonts w:ascii="Times New Roman" w:hAnsi="Times New Roman" w:cs="Times New Roman"/>
          <w:sz w:val="28"/>
          <w:szCs w:val="28"/>
        </w:rPr>
        <w:t>аказаний в виде предупреждений.</w:t>
      </w:r>
      <w:proofErr w:type="gramEnd"/>
    </w:p>
    <w:p w:rsidR="001B24A4" w:rsidRPr="001B24A4" w:rsidRDefault="001B24A4" w:rsidP="00CA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1B24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24A4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</w:t>
      </w:r>
      <w:r w:rsidR="00CA7D40">
        <w:rPr>
          <w:rFonts w:ascii="Times New Roman" w:hAnsi="Times New Roman" w:cs="Times New Roman"/>
          <w:sz w:val="28"/>
          <w:szCs w:val="28"/>
        </w:rPr>
        <w:t>6</w:t>
      </w:r>
      <w:r w:rsidRPr="001B24A4">
        <w:rPr>
          <w:rFonts w:ascii="Times New Roman" w:hAnsi="Times New Roman" w:cs="Times New Roman"/>
          <w:sz w:val="28"/>
          <w:szCs w:val="28"/>
        </w:rPr>
        <w:t xml:space="preserve"> протокола  об административном правонарушении по ст. 15.13 КоАП РФ (нарушение порядка и сроков при декларировании).</w:t>
      </w:r>
    </w:p>
    <w:p w:rsidR="001B24A4" w:rsidRPr="001B24A4" w:rsidRDefault="00CA7D40" w:rsidP="00CA7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4A4" w:rsidRPr="001B24A4">
        <w:rPr>
          <w:rFonts w:ascii="Times New Roman" w:hAnsi="Times New Roman" w:cs="Times New Roman"/>
          <w:sz w:val="28"/>
          <w:szCs w:val="28"/>
        </w:rPr>
        <w:t>Рассмотрено 12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140 тыс. руб., вынесено 5 административных наказаний в виде предупреждений.</w:t>
      </w:r>
    </w:p>
    <w:p w:rsidR="001B24A4" w:rsidRPr="001B24A4" w:rsidRDefault="00CA7D40" w:rsidP="00CA7D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4A4" w:rsidRPr="001B24A4">
        <w:rPr>
          <w:rFonts w:ascii="Times New Roman" w:hAnsi="Times New Roman" w:cs="Times New Roman"/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1 млн. 14</w:t>
      </w:r>
      <w:r w:rsidR="001B24A4" w:rsidRPr="001B24A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24A4" w:rsidRPr="001B24A4" w:rsidRDefault="00CA7D40" w:rsidP="001B24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24A4" w:rsidRPr="001B24A4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="001B24A4" w:rsidRPr="001B24A4">
        <w:rPr>
          <w:rFonts w:ascii="Times New Roman" w:hAnsi="Times New Roman" w:cs="Times New Roman"/>
          <w:sz w:val="28"/>
          <w:szCs w:val="28"/>
        </w:rPr>
        <w:t xml:space="preserve">/направлено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B24A4" w:rsidRPr="001B24A4">
        <w:rPr>
          <w:rFonts w:ascii="Times New Roman" w:hAnsi="Times New Roman" w:cs="Times New Roman"/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</w:t>
      </w:r>
    </w:p>
    <w:p w:rsidR="001B24A4" w:rsidRPr="001B24A4" w:rsidRDefault="001B24A4" w:rsidP="00CA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Ответы на обращения граждан - </w:t>
      </w:r>
      <w:r w:rsidR="00CA7D40">
        <w:rPr>
          <w:rFonts w:ascii="Times New Roman" w:hAnsi="Times New Roman" w:cs="Times New Roman"/>
          <w:sz w:val="28"/>
          <w:szCs w:val="28"/>
        </w:rPr>
        <w:t>2</w:t>
      </w:r>
      <w:r w:rsidRPr="001B24A4">
        <w:rPr>
          <w:rFonts w:ascii="Times New Roman" w:hAnsi="Times New Roman" w:cs="Times New Roman"/>
          <w:sz w:val="28"/>
          <w:szCs w:val="28"/>
        </w:rPr>
        <w:t>.</w:t>
      </w:r>
    </w:p>
    <w:p w:rsidR="001B24A4" w:rsidRPr="001B24A4" w:rsidRDefault="001B24A4" w:rsidP="00CA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4A4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CA7D40">
        <w:rPr>
          <w:rFonts w:ascii="Times New Roman" w:hAnsi="Times New Roman" w:cs="Times New Roman"/>
          <w:sz w:val="28"/>
          <w:szCs w:val="28"/>
        </w:rPr>
        <w:t>4</w:t>
      </w:r>
      <w:r w:rsidRPr="001B24A4">
        <w:rPr>
          <w:rFonts w:ascii="Times New Roman" w:hAnsi="Times New Roman" w:cs="Times New Roman"/>
          <w:sz w:val="28"/>
          <w:szCs w:val="28"/>
        </w:rPr>
        <w:t xml:space="preserve"> судебных заседаниях.</w:t>
      </w:r>
    </w:p>
    <w:p w:rsidR="001B24A4" w:rsidRDefault="001B24A4" w:rsidP="001B2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7B" w:rsidRPr="00083B94" w:rsidRDefault="00F0367B" w:rsidP="00F036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F0367B" w:rsidRDefault="00F0367B" w:rsidP="00CA7D40">
      <w:pPr>
        <w:pStyle w:val="a6"/>
        <w:ind w:firstLine="709"/>
        <w:rPr>
          <w:szCs w:val="28"/>
        </w:rPr>
      </w:pPr>
      <w:r w:rsidRPr="00F0367B">
        <w:rPr>
          <w:szCs w:val="28"/>
        </w:rPr>
        <w:t>В течение отчетной недели проделана следующая работа:</w:t>
      </w:r>
    </w:p>
    <w:p w:rsidR="00CA7D40" w:rsidRPr="00CA7D40" w:rsidRDefault="00CA7D40" w:rsidP="00CA7D40">
      <w:pPr>
        <w:pStyle w:val="a5"/>
        <w:ind w:left="0" w:firstLine="708"/>
        <w:jc w:val="both"/>
        <w:rPr>
          <w:noProof/>
          <w:sz w:val="28"/>
          <w:szCs w:val="28"/>
        </w:rPr>
      </w:pPr>
      <w:r w:rsidRPr="00CA7D40">
        <w:rPr>
          <w:noProof/>
          <w:sz w:val="28"/>
          <w:szCs w:val="28"/>
        </w:rPr>
        <w:t xml:space="preserve">Приказом РСТ Забайкальского края № 153-НПА утверждены тарифы на перемещение и хранение транспортных средств, задержанных по административным правонарушениям на территории Забайкальского края на </w:t>
      </w:r>
      <w:r>
        <w:rPr>
          <w:noProof/>
          <w:sz w:val="28"/>
          <w:szCs w:val="28"/>
        </w:rPr>
        <w:t xml:space="preserve">    </w:t>
      </w:r>
      <w:r w:rsidRPr="00CA7D40">
        <w:rPr>
          <w:noProof/>
          <w:sz w:val="28"/>
          <w:szCs w:val="28"/>
        </w:rPr>
        <w:t>2019-2020 годы.</w:t>
      </w:r>
    </w:p>
    <w:p w:rsidR="00CA7D40" w:rsidRPr="00CA7D40" w:rsidRDefault="00CA7D40" w:rsidP="00CA7D40">
      <w:pPr>
        <w:pStyle w:val="a5"/>
        <w:ind w:left="0" w:firstLine="708"/>
        <w:jc w:val="both"/>
        <w:rPr>
          <w:b/>
          <w:sz w:val="28"/>
          <w:szCs w:val="28"/>
        </w:rPr>
      </w:pPr>
      <w:r w:rsidRPr="00CA7D40">
        <w:rPr>
          <w:sz w:val="28"/>
          <w:szCs w:val="28"/>
        </w:rPr>
        <w:t>Проводится ежегодный анализ размеров оптовых и розничных надбавок аптечных организаций, осуществлявших реализацию ЖНВЛП в 2018 году для учета результатов этого анализа для рассмотрения предложений по установлению (изменению) размеров надбавок на плановый период регулирования (2020 год)</w:t>
      </w:r>
      <w:r>
        <w:rPr>
          <w:sz w:val="28"/>
          <w:szCs w:val="28"/>
        </w:rPr>
        <w:t>.</w:t>
      </w:r>
      <w:r w:rsidRPr="00CA7D40">
        <w:rPr>
          <w:sz w:val="28"/>
          <w:szCs w:val="28"/>
        </w:rPr>
        <w:t xml:space="preserve"> </w:t>
      </w:r>
    </w:p>
    <w:p w:rsidR="00CA7D40" w:rsidRPr="00CA7D40" w:rsidRDefault="00CA7D40" w:rsidP="00CA7D4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A7D40" w:rsidRPr="00CA7D40" w:rsidRDefault="00CA7D40" w:rsidP="00CA7D40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lastRenderedPageBreak/>
        <w:t xml:space="preserve">Направлена информация по запросам и предложения (в пределах полномочий </w:t>
      </w:r>
      <w:r>
        <w:rPr>
          <w:sz w:val="28"/>
          <w:szCs w:val="28"/>
        </w:rPr>
        <w:t xml:space="preserve">РСТ Забайкальского края) </w:t>
      </w:r>
      <w:r w:rsidRPr="00CA7D40">
        <w:rPr>
          <w:sz w:val="28"/>
          <w:szCs w:val="28"/>
        </w:rPr>
        <w:t xml:space="preserve">в </w:t>
      </w:r>
      <w:r>
        <w:rPr>
          <w:sz w:val="28"/>
          <w:szCs w:val="28"/>
        </w:rPr>
        <w:t>исполнительные органы государственной власти</w:t>
      </w:r>
      <w:r w:rsidRPr="00CA7D40">
        <w:rPr>
          <w:sz w:val="28"/>
          <w:szCs w:val="28"/>
        </w:rPr>
        <w:t xml:space="preserve"> Забайкальского края и Р</w:t>
      </w:r>
      <w:r w:rsidR="00FF127D">
        <w:rPr>
          <w:sz w:val="28"/>
          <w:szCs w:val="28"/>
        </w:rPr>
        <w:t xml:space="preserve">оссийской Федерации </w:t>
      </w:r>
      <w:r w:rsidRPr="00CA7D40">
        <w:rPr>
          <w:sz w:val="28"/>
          <w:szCs w:val="28"/>
        </w:rPr>
        <w:t xml:space="preserve"> – </w:t>
      </w:r>
      <w:r w:rsidR="00FF127D">
        <w:rPr>
          <w:sz w:val="28"/>
          <w:szCs w:val="28"/>
        </w:rPr>
        <w:t>14.</w:t>
      </w:r>
      <w:r w:rsidRPr="00CA7D40">
        <w:rPr>
          <w:sz w:val="28"/>
          <w:szCs w:val="28"/>
        </w:rPr>
        <w:t xml:space="preserve"> </w:t>
      </w:r>
    </w:p>
    <w:p w:rsidR="00FF127D" w:rsidRDefault="00CA7D40" w:rsidP="00CA7D40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t>Направлены информационные письма, запросы регулируемым и прочим организациям – 1</w:t>
      </w:r>
      <w:r w:rsidR="00FF127D">
        <w:rPr>
          <w:sz w:val="28"/>
          <w:szCs w:val="28"/>
        </w:rPr>
        <w:t>0.</w:t>
      </w:r>
    </w:p>
    <w:p w:rsidR="00CA7D40" w:rsidRPr="00CA7D40" w:rsidRDefault="00CA7D40" w:rsidP="00CA7D40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t xml:space="preserve">Направлены информационные письма в суды – 2 </w:t>
      </w:r>
      <w:r w:rsidR="00FF127D">
        <w:rPr>
          <w:sz w:val="28"/>
          <w:szCs w:val="28"/>
        </w:rPr>
        <w:t>.</w:t>
      </w:r>
    </w:p>
    <w:p w:rsidR="00CA7D40" w:rsidRPr="00CA7D40" w:rsidRDefault="00CA7D40" w:rsidP="00CA7D40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t>Подготовлены ответы на обращения граждан – 1</w:t>
      </w:r>
      <w:r w:rsidR="00FF127D">
        <w:rPr>
          <w:sz w:val="28"/>
          <w:szCs w:val="28"/>
        </w:rPr>
        <w:t>.</w:t>
      </w:r>
    </w:p>
    <w:p w:rsidR="00005CEB" w:rsidRPr="008939D4" w:rsidRDefault="00CA7D40" w:rsidP="00005CEB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</w:t>
      </w:r>
      <w:r w:rsidR="00005CEB">
        <w:rPr>
          <w:sz w:val="28"/>
          <w:szCs w:val="28"/>
        </w:rPr>
        <w:t>экономического развития Забайкальского края.</w:t>
      </w:r>
    </w:p>
    <w:p w:rsidR="00CA7D40" w:rsidRPr="00CA7D40" w:rsidRDefault="00CA7D40" w:rsidP="00CA7D40">
      <w:pPr>
        <w:pStyle w:val="a5"/>
        <w:ind w:left="0" w:firstLine="708"/>
        <w:jc w:val="both"/>
        <w:rPr>
          <w:sz w:val="28"/>
          <w:szCs w:val="28"/>
        </w:rPr>
      </w:pPr>
      <w:r w:rsidRPr="00CA7D40">
        <w:rPr>
          <w:sz w:val="28"/>
          <w:szCs w:val="28"/>
        </w:rPr>
        <w:t>26 июня 2019 года проведено заседание Совета при РСТ Забайкальского края по вопросам:</w:t>
      </w:r>
      <w:r w:rsidR="00E607FF">
        <w:rPr>
          <w:sz w:val="28"/>
          <w:szCs w:val="28"/>
        </w:rPr>
        <w:t xml:space="preserve"> 1.</w:t>
      </w:r>
      <w:r w:rsidRPr="00CA7D40">
        <w:rPr>
          <w:sz w:val="28"/>
          <w:szCs w:val="28"/>
        </w:rPr>
        <w:t>Общие итоги деятельности Региональной службы по тарифам и ценообразованию Забайкальского края по тарифному регулированию на 2019 год;</w:t>
      </w:r>
      <w:r w:rsidR="00E607FF">
        <w:rPr>
          <w:sz w:val="28"/>
          <w:szCs w:val="28"/>
        </w:rPr>
        <w:t xml:space="preserve"> </w:t>
      </w:r>
      <w:bookmarkStart w:id="0" w:name="_GoBack"/>
      <w:bookmarkEnd w:id="0"/>
      <w:r w:rsidRPr="00CA7D40">
        <w:rPr>
          <w:sz w:val="28"/>
          <w:szCs w:val="28"/>
        </w:rPr>
        <w:t>2.Отчет о контрольной деятельности Региональной службы по тарифам и ценообразованию Забайкальского края за 2018 год и первое полугодие 2019 года. Изменение подходов к осуществлению контрольной (надзорной) деятельности.</w:t>
      </w:r>
    </w:p>
    <w:p w:rsidR="00CA7D40" w:rsidRPr="00CA7D40" w:rsidRDefault="00CA7D40" w:rsidP="00CA7D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40">
        <w:rPr>
          <w:rFonts w:ascii="Times New Roman" w:hAnsi="Times New Roman" w:cs="Times New Roman"/>
          <w:sz w:val="28"/>
          <w:szCs w:val="28"/>
        </w:rPr>
        <w:tab/>
        <w:t xml:space="preserve">28 июня 2019 года проведены публичные слушания с участием представителей регулируемых организаций, исполнительных и контрольных органов государственной власти Забайкальского края. Тема публичных обсуждений: </w:t>
      </w:r>
      <w:proofErr w:type="gramStart"/>
      <w:r w:rsidRPr="00CA7D40">
        <w:rPr>
          <w:rFonts w:ascii="Times New Roman" w:hAnsi="Times New Roman" w:cs="Times New Roman"/>
          <w:sz w:val="28"/>
          <w:szCs w:val="28"/>
        </w:rPr>
        <w:t>«Правоприменительная практика Региональной службы по тарифам и ценообразованию Забайкальского края в области регионального государственного контроля в отношении применения цен (тарифов) субъектами естественных монополий в сфере железнодорожных перевозок пассажиров в пригородном сообщении, цен на жизненно необходимые и важнейшие лекарственные препараты, предельного размера платы за проведение технического осмотра транспортных средств, размера платы за выдачу дубликата диагностической карты».</w:t>
      </w:r>
      <w:proofErr w:type="gramEnd"/>
    </w:p>
    <w:p w:rsidR="00CA7D40" w:rsidRPr="00CA7D40" w:rsidRDefault="00CA7D40" w:rsidP="00CA7D4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7D40">
        <w:rPr>
          <w:rFonts w:ascii="Times New Roman" w:hAnsi="Times New Roman" w:cs="Times New Roman"/>
          <w:sz w:val="28"/>
          <w:szCs w:val="28"/>
        </w:rPr>
        <w:t>По запросу Министерства здравоохранения Забайкальского края рассчитаны предельные размеры оптовых и розничных цен по перечню жизненно необходимых и важнейших лекарственных препаратов по 38694 наименованиям лекарственных препаратов, в том числе по 309 наименованиям наркотических и психотропных лекарственных препаратов, исходя из зарегистрированных цен производителей, по состоянию на 25 июня 2019 года.</w:t>
      </w:r>
    </w:p>
    <w:p w:rsidR="00CA7D40" w:rsidRPr="00CA7D40" w:rsidRDefault="00CA7D40" w:rsidP="00CA7D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D40">
        <w:rPr>
          <w:rFonts w:ascii="Times New Roman" w:hAnsi="Times New Roman" w:cs="Times New Roman"/>
          <w:b/>
          <w:sz w:val="28"/>
          <w:szCs w:val="28"/>
        </w:rPr>
        <w:tab/>
      </w:r>
      <w:r w:rsidRPr="00CA7D40">
        <w:rPr>
          <w:rFonts w:ascii="Times New Roman" w:hAnsi="Times New Roman" w:cs="Times New Roman"/>
          <w:sz w:val="28"/>
          <w:szCs w:val="28"/>
        </w:rPr>
        <w:t>Проходят процедуру согласования с заинтересованными органами государственной власти Забайкальского края проекты нормативных правовых актов Забайкальского края:</w:t>
      </w:r>
    </w:p>
    <w:p w:rsidR="00CA7D40" w:rsidRPr="00CA7D40" w:rsidRDefault="00CA7D40" w:rsidP="00CA7D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7D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регионального контроле применения размеров платы за технический осмотр транспортных средств; </w:t>
      </w:r>
      <w:proofErr w:type="gramEnd"/>
    </w:p>
    <w:p w:rsidR="00CA7D40" w:rsidRPr="00CA7D40" w:rsidRDefault="00CA7D40" w:rsidP="00FF127D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CA7D40">
        <w:rPr>
          <w:rFonts w:ascii="Times New Roman" w:hAnsi="Times New Roman" w:cs="Times New Roman"/>
          <w:sz w:val="28"/>
          <w:szCs w:val="28"/>
        </w:rPr>
        <w:tab/>
        <w:t xml:space="preserve">проект приказа об утверждении административного регламента по осуществлению государственного регионального </w:t>
      </w:r>
      <w:proofErr w:type="gramStart"/>
      <w:r w:rsidRPr="00CA7D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7D40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края.</w:t>
      </w:r>
    </w:p>
    <w:sectPr w:rsidR="00CA7D40" w:rsidRPr="00CA7D40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40" w:rsidRDefault="00CA7D40" w:rsidP="00D710EA">
      <w:pPr>
        <w:spacing w:after="0" w:line="240" w:lineRule="auto"/>
      </w:pPr>
      <w:r>
        <w:separator/>
      </w:r>
    </w:p>
  </w:endnote>
  <w:endnote w:type="continuationSeparator" w:id="0">
    <w:p w:rsidR="00CA7D40" w:rsidRDefault="00CA7D40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40" w:rsidRDefault="00CA7D40" w:rsidP="00D710EA">
      <w:pPr>
        <w:spacing w:after="0" w:line="240" w:lineRule="auto"/>
      </w:pPr>
      <w:r>
        <w:separator/>
      </w:r>
    </w:p>
  </w:footnote>
  <w:footnote w:type="continuationSeparator" w:id="0">
    <w:p w:rsidR="00CA7D40" w:rsidRDefault="00CA7D40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0367B"/>
    <w:rsid w:val="00F04BE9"/>
    <w:rsid w:val="00F11A95"/>
    <w:rsid w:val="00F228D4"/>
    <w:rsid w:val="00F24A88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691-8DA8-46F6-A956-88D41BCF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49</cp:revision>
  <cp:lastPrinted>2019-07-30T05:49:00Z</cp:lastPrinted>
  <dcterms:created xsi:type="dcterms:W3CDTF">2014-05-22T00:23:00Z</dcterms:created>
  <dcterms:modified xsi:type="dcterms:W3CDTF">2019-07-30T08:09:00Z</dcterms:modified>
</cp:coreProperties>
</file>